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A9F09" w14:textId="527788E1" w:rsidR="003631E0" w:rsidRPr="00523824" w:rsidRDefault="003631E0" w:rsidP="00040BAD">
      <w:pPr>
        <w:pStyle w:val="MH1nonumb"/>
        <w:spacing w:after="240"/>
      </w:pPr>
      <w:r>
        <w:t xml:space="preserve">EXECUTIVE SUMMARY – INVESTORS’ RESIDENCE SCHEMES IN </w:t>
      </w:r>
      <w:r w:rsidR="000B2D69">
        <w:t>Latvia</w:t>
      </w:r>
    </w:p>
    <w:p w14:paraId="114FD0A6" w14:textId="3AEAF9A6" w:rsidR="00D26993" w:rsidRPr="001514A4" w:rsidRDefault="00BE65AB" w:rsidP="001514A4">
      <w:pPr>
        <w:pStyle w:val="NormalWeb"/>
        <w:spacing w:before="0" w:beforeAutospacing="0" w:after="0" w:afterAutospacing="0"/>
        <w:jc w:val="both"/>
        <w:rPr>
          <w:b/>
          <w:i/>
          <w:sz w:val="22"/>
          <w:szCs w:val="22"/>
        </w:rPr>
      </w:pPr>
      <w:r w:rsidRPr="001514A4">
        <w:rPr>
          <w:b/>
          <w:i/>
          <w:sz w:val="22"/>
          <w:szCs w:val="22"/>
        </w:rPr>
        <w:t>General background</w:t>
      </w:r>
    </w:p>
    <w:p w14:paraId="79C0E259" w14:textId="77777777" w:rsidR="001514A4" w:rsidRDefault="001514A4" w:rsidP="001514A4">
      <w:pPr>
        <w:pStyle w:val="MMultilevel"/>
        <w:numPr>
          <w:ilvl w:val="0"/>
          <w:numId w:val="0"/>
        </w:numPr>
        <w:rPr>
          <w:lang w:val="en-GB"/>
        </w:rPr>
      </w:pPr>
    </w:p>
    <w:p w14:paraId="25443EB2" w14:textId="355FDB9A" w:rsidR="00BE65AB" w:rsidRPr="001514A4" w:rsidRDefault="00BE65AB" w:rsidP="001514A4">
      <w:pPr>
        <w:pStyle w:val="MMultilevel"/>
        <w:numPr>
          <w:ilvl w:val="0"/>
          <w:numId w:val="0"/>
        </w:numPr>
        <w:rPr>
          <w:lang w:val="en-GB"/>
        </w:rPr>
      </w:pPr>
      <w:r w:rsidRPr="001514A4">
        <w:rPr>
          <w:lang w:val="en-GB"/>
        </w:rPr>
        <w:t xml:space="preserve">The </w:t>
      </w:r>
      <w:r w:rsidRPr="001514A4">
        <w:rPr>
          <w:b/>
          <w:lang w:val="en-GB"/>
        </w:rPr>
        <w:t>investors’ residence scheme</w:t>
      </w:r>
      <w:r w:rsidRPr="001514A4">
        <w:rPr>
          <w:lang w:val="en-GB"/>
        </w:rPr>
        <w:t xml:space="preserve"> in Latvia was introduced by amending the Immigration Law in 2010</w:t>
      </w:r>
      <w:r w:rsidR="001D6E9D">
        <w:rPr>
          <w:lang w:val="en-GB"/>
        </w:rPr>
        <w:t>.</w:t>
      </w:r>
      <w:r w:rsidR="00AE574E" w:rsidRPr="00AE574E">
        <w:rPr>
          <w:vertAlign w:val="superscript"/>
          <w:lang w:val="en-GB"/>
        </w:rPr>
        <w:footnoteReference w:id="1"/>
      </w:r>
      <w:r w:rsidRPr="001514A4">
        <w:rPr>
          <w:lang w:val="en-GB"/>
        </w:rPr>
        <w:t xml:space="preserve"> This step was taken as a reaction to </w:t>
      </w:r>
      <w:r w:rsidR="001D6E9D">
        <w:rPr>
          <w:lang w:val="en-GB"/>
        </w:rPr>
        <w:t xml:space="preserve">the </w:t>
      </w:r>
      <w:r w:rsidR="006F606C" w:rsidRPr="001514A4">
        <w:rPr>
          <w:lang w:val="en-GB"/>
        </w:rPr>
        <w:t>financial crisis that hit Latvia</w:t>
      </w:r>
      <w:r w:rsidRPr="001514A4">
        <w:rPr>
          <w:lang w:val="en-GB"/>
        </w:rPr>
        <w:t xml:space="preserve"> in 2008. </w:t>
      </w:r>
      <w:r w:rsidRPr="001514A4">
        <w:t xml:space="preserve">The idea behind this scheme was to attract foreign investors </w:t>
      </w:r>
      <w:r w:rsidRPr="001514A4">
        <w:rPr>
          <w:lang w:val="en-GB"/>
        </w:rPr>
        <w:t xml:space="preserve">to facilitate Latvia’s economic recovery and growth by activating the real </w:t>
      </w:r>
      <w:r w:rsidR="00D423F3">
        <w:rPr>
          <w:lang w:val="en-GB"/>
        </w:rPr>
        <w:t xml:space="preserve">estate </w:t>
      </w:r>
      <w:r w:rsidRPr="001514A4">
        <w:rPr>
          <w:lang w:val="en-GB"/>
        </w:rPr>
        <w:t xml:space="preserve">market and creating new jobs. </w:t>
      </w:r>
    </w:p>
    <w:p w14:paraId="46260AB4" w14:textId="77777777" w:rsidR="00BE65AB" w:rsidRPr="001514A4" w:rsidRDefault="00BE65AB" w:rsidP="001514A4">
      <w:pPr>
        <w:pStyle w:val="MMultilevel"/>
        <w:numPr>
          <w:ilvl w:val="0"/>
          <w:numId w:val="0"/>
        </w:numPr>
        <w:rPr>
          <w:lang w:val="en-GB"/>
        </w:rPr>
      </w:pPr>
    </w:p>
    <w:p w14:paraId="35055FBE" w14:textId="233AE813" w:rsidR="00BE65AB" w:rsidRPr="001514A4" w:rsidRDefault="00BE65AB" w:rsidP="001514A4">
      <w:pPr>
        <w:pStyle w:val="MMultilevel"/>
        <w:numPr>
          <w:ilvl w:val="0"/>
          <w:numId w:val="0"/>
        </w:numPr>
        <w:rPr>
          <w:lang w:val="en-GB"/>
        </w:rPr>
      </w:pPr>
      <w:r w:rsidRPr="001514A4">
        <w:rPr>
          <w:lang w:val="en-GB"/>
        </w:rPr>
        <w:t xml:space="preserve">The amendments to the </w:t>
      </w:r>
      <w:r w:rsidR="000E22A7" w:rsidRPr="001514A4">
        <w:rPr>
          <w:lang w:val="en-GB"/>
        </w:rPr>
        <w:t>law</w:t>
      </w:r>
      <w:r w:rsidRPr="001514A4">
        <w:rPr>
          <w:lang w:val="en-GB"/>
        </w:rPr>
        <w:t xml:space="preserve"> allowed </w:t>
      </w:r>
      <w:r w:rsidR="000E22A7" w:rsidRPr="001514A4">
        <w:rPr>
          <w:lang w:val="en-GB"/>
        </w:rPr>
        <w:t>foreign</w:t>
      </w:r>
      <w:r w:rsidRPr="001514A4">
        <w:rPr>
          <w:lang w:val="en-GB"/>
        </w:rPr>
        <w:t xml:space="preserve"> investors to obtain</w:t>
      </w:r>
      <w:r w:rsidR="000E22A7" w:rsidRPr="001514A4">
        <w:rPr>
          <w:lang w:val="en-GB"/>
        </w:rPr>
        <w:t xml:space="preserve"> a</w:t>
      </w:r>
      <w:r w:rsidRPr="001514A4">
        <w:rPr>
          <w:lang w:val="en-GB"/>
        </w:rPr>
        <w:t xml:space="preserve"> </w:t>
      </w:r>
      <w:r w:rsidRPr="001514A4">
        <w:rPr>
          <w:b/>
          <w:lang w:val="en-GB"/>
        </w:rPr>
        <w:t>temporary residence permit</w:t>
      </w:r>
      <w:r w:rsidRPr="001514A4">
        <w:rPr>
          <w:lang w:val="en-GB"/>
        </w:rPr>
        <w:t xml:space="preserve"> after purchasing real estate in Latvia, investing into the equity capital of a capital company (i.e. limited liability or joint stock company), establishing a new capital company or investing in subordinate obligations </w:t>
      </w:r>
      <w:r w:rsidR="000E22A7" w:rsidRPr="001514A4">
        <w:rPr>
          <w:lang w:val="en-GB"/>
        </w:rPr>
        <w:t>of a Latvian</w:t>
      </w:r>
      <w:r w:rsidRPr="001514A4">
        <w:rPr>
          <w:lang w:val="en-GB"/>
        </w:rPr>
        <w:t xml:space="preserve"> credit institution (i.e. lending money to a bank). Since then, it is also possible to obtain a residence permit to invest in State securities</w:t>
      </w:r>
      <w:r w:rsidR="001E0872" w:rsidRPr="001514A4">
        <w:rPr>
          <w:lang w:val="en-GB"/>
        </w:rPr>
        <w:t xml:space="preserve"> </w:t>
      </w:r>
      <w:r w:rsidRPr="001514A4">
        <w:rPr>
          <w:lang w:val="en-GB"/>
        </w:rPr>
        <w:t xml:space="preserve">and innovative projects. </w:t>
      </w:r>
    </w:p>
    <w:p w14:paraId="0394ADC9" w14:textId="77777777" w:rsidR="00BE65AB" w:rsidRPr="001514A4" w:rsidRDefault="00BE65AB" w:rsidP="001514A4">
      <w:pPr>
        <w:pStyle w:val="MMultilevel"/>
        <w:numPr>
          <w:ilvl w:val="0"/>
          <w:numId w:val="0"/>
        </w:numPr>
        <w:rPr>
          <w:lang w:val="en-GB"/>
        </w:rPr>
      </w:pPr>
    </w:p>
    <w:p w14:paraId="79DBBD40" w14:textId="72E9442E" w:rsidR="00BE65AB" w:rsidRPr="001514A4" w:rsidRDefault="00BE65AB" w:rsidP="001514A4">
      <w:pPr>
        <w:pStyle w:val="MMultilevel"/>
        <w:numPr>
          <w:ilvl w:val="0"/>
          <w:numId w:val="0"/>
        </w:numPr>
        <w:rPr>
          <w:lang w:val="en-GB"/>
        </w:rPr>
      </w:pPr>
      <w:r w:rsidRPr="001514A4">
        <w:rPr>
          <w:lang w:val="en-GB"/>
        </w:rPr>
        <w:t xml:space="preserve">For each case, the eligibility conditions are set out in the </w:t>
      </w:r>
      <w:r w:rsidRPr="001514A4">
        <w:rPr>
          <w:b/>
          <w:lang w:val="en-GB"/>
        </w:rPr>
        <w:t>Immigration Law</w:t>
      </w:r>
      <w:r w:rsidRPr="001514A4">
        <w:rPr>
          <w:lang w:val="en-GB"/>
        </w:rPr>
        <w:t xml:space="preserve">. The application procedure is laid down in the Cabinet </w:t>
      </w:r>
      <w:r w:rsidRPr="001514A4">
        <w:rPr>
          <w:b/>
          <w:lang w:val="en-GB"/>
        </w:rPr>
        <w:t>Regulation No 564</w:t>
      </w:r>
      <w:r w:rsidRPr="001514A4">
        <w:rPr>
          <w:lang w:val="en-GB"/>
        </w:rPr>
        <w:t xml:space="preserve"> of 21 June 2010 on Residence Permits</w:t>
      </w:r>
      <w:r w:rsidR="00D423F3">
        <w:rPr>
          <w:lang w:val="en-GB"/>
        </w:rPr>
        <w:t>.</w:t>
      </w:r>
      <w:r w:rsidR="00AE574E" w:rsidRPr="00AE574E">
        <w:rPr>
          <w:vertAlign w:val="superscript"/>
          <w:lang w:val="en-GB"/>
        </w:rPr>
        <w:footnoteReference w:id="2"/>
      </w:r>
    </w:p>
    <w:p w14:paraId="3C7DCA72" w14:textId="40CC5D77" w:rsidR="00BE65AB" w:rsidRPr="001514A4" w:rsidRDefault="00BE65AB" w:rsidP="001514A4">
      <w:pPr>
        <w:pStyle w:val="MMultilevel"/>
        <w:numPr>
          <w:ilvl w:val="0"/>
          <w:numId w:val="0"/>
        </w:numPr>
        <w:rPr>
          <w:lang w:val="en-GB"/>
        </w:rPr>
      </w:pPr>
    </w:p>
    <w:p w14:paraId="7B2A8734" w14:textId="261CFBB8" w:rsidR="00BE65AB" w:rsidRPr="00197B64" w:rsidRDefault="00BE65AB" w:rsidP="001514A4">
      <w:pPr>
        <w:pStyle w:val="MMultilevel"/>
        <w:numPr>
          <w:ilvl w:val="0"/>
          <w:numId w:val="0"/>
        </w:numPr>
        <w:rPr>
          <w:lang w:val="en-GB"/>
        </w:rPr>
      </w:pPr>
      <w:r w:rsidRPr="001514A4">
        <w:rPr>
          <w:lang w:val="en-GB"/>
        </w:rPr>
        <w:t xml:space="preserve">The </w:t>
      </w:r>
      <w:r w:rsidRPr="001514A4">
        <w:rPr>
          <w:b/>
          <w:lang w:val="en-GB"/>
        </w:rPr>
        <w:t>Office of Citizenship and Migration Affairs</w:t>
      </w:r>
      <w:r w:rsidRPr="001514A4">
        <w:rPr>
          <w:lang w:val="en-GB"/>
        </w:rPr>
        <w:t xml:space="preserve"> </w:t>
      </w:r>
      <w:r w:rsidR="000E22A7" w:rsidRPr="001514A4">
        <w:rPr>
          <w:lang w:val="en-GB"/>
        </w:rPr>
        <w:t xml:space="preserve">(OCMA) </w:t>
      </w:r>
      <w:r w:rsidRPr="001514A4">
        <w:rPr>
          <w:lang w:val="en-GB"/>
        </w:rPr>
        <w:t>is the competent authority for granting residence permits</w:t>
      </w:r>
      <w:r w:rsidR="00D423F3">
        <w:rPr>
          <w:lang w:val="en-GB"/>
        </w:rPr>
        <w:t>.</w:t>
      </w:r>
      <w:r w:rsidR="00AE574E" w:rsidRPr="00AE574E">
        <w:rPr>
          <w:vertAlign w:val="superscript"/>
          <w:lang w:val="en-GB"/>
        </w:rPr>
        <w:footnoteReference w:id="3"/>
      </w:r>
      <w:r w:rsidRPr="001514A4">
        <w:rPr>
          <w:lang w:val="en-GB"/>
        </w:rPr>
        <w:t xml:space="preserve"> </w:t>
      </w:r>
      <w:r w:rsidR="009F0EEA" w:rsidRPr="009F0EEA">
        <w:t xml:space="preserve"> </w:t>
      </w:r>
      <w:r w:rsidR="009F0EEA" w:rsidRPr="009F0EEA">
        <w:rPr>
          <w:lang w:val="en-GB"/>
        </w:rPr>
        <w:t xml:space="preserve">The </w:t>
      </w:r>
      <w:r w:rsidR="009F0EEA" w:rsidRPr="00D423F3">
        <w:rPr>
          <w:b/>
          <w:lang w:val="en-GB"/>
        </w:rPr>
        <w:t>Consulates of the Republic of Latvia</w:t>
      </w:r>
      <w:r w:rsidR="009F0EEA" w:rsidRPr="009F0EEA">
        <w:rPr>
          <w:lang w:val="en-GB"/>
        </w:rPr>
        <w:t xml:space="preserve"> are competent to accept residence permit applications. However, vetting and checks of the submitted documents is carried out by the O</w:t>
      </w:r>
      <w:r w:rsidR="00FD755B">
        <w:rPr>
          <w:lang w:val="en-GB"/>
        </w:rPr>
        <w:t>CMA</w:t>
      </w:r>
      <w:r w:rsidR="009F0EEA" w:rsidRPr="009F0EEA">
        <w:rPr>
          <w:lang w:val="en-GB"/>
        </w:rPr>
        <w:t>.</w:t>
      </w:r>
      <w:r w:rsidR="00FD755B">
        <w:rPr>
          <w:lang w:val="en-GB"/>
        </w:rPr>
        <w:t xml:space="preserve"> OCMA </w:t>
      </w:r>
      <w:r w:rsidR="00FD755B" w:rsidRPr="00FD755B">
        <w:rPr>
          <w:lang w:val="en-GB"/>
        </w:rPr>
        <w:t xml:space="preserve">does not check the legality of investment funds. It relies on the </w:t>
      </w:r>
      <w:r w:rsidR="00FD755B" w:rsidRPr="00D423F3">
        <w:rPr>
          <w:b/>
          <w:lang w:val="en-GB"/>
        </w:rPr>
        <w:t>Security Police</w:t>
      </w:r>
      <w:r w:rsidR="00FD755B">
        <w:rPr>
          <w:b/>
          <w:lang w:val="en-GB"/>
        </w:rPr>
        <w:t xml:space="preserve"> </w:t>
      </w:r>
      <w:r w:rsidR="00FD755B" w:rsidRPr="00FD755B">
        <w:rPr>
          <w:lang w:val="en-GB"/>
        </w:rPr>
        <w:t>and financial institutions</w:t>
      </w:r>
      <w:r w:rsidR="00D423F3">
        <w:rPr>
          <w:lang w:val="en-GB"/>
        </w:rPr>
        <w:t xml:space="preserve"> in relation to any suspicions surrounding</w:t>
      </w:r>
      <w:r w:rsidR="00FD755B" w:rsidRPr="00FD755B">
        <w:rPr>
          <w:lang w:val="en-GB"/>
        </w:rPr>
        <w:t xml:space="preserve"> money transfers</w:t>
      </w:r>
      <w:r w:rsidR="00FD755B">
        <w:rPr>
          <w:lang w:val="en-GB"/>
        </w:rPr>
        <w:t>, as required by law.</w:t>
      </w:r>
      <w:r w:rsidR="00197B64" w:rsidRPr="00197B64">
        <w:rPr>
          <w:vertAlign w:val="superscript"/>
          <w:lang w:val="en-GB"/>
        </w:rPr>
        <w:footnoteReference w:id="4"/>
      </w:r>
      <w:r w:rsidR="00FD755B">
        <w:rPr>
          <w:lang w:val="en-GB"/>
        </w:rPr>
        <w:t xml:space="preserve"> Any irregularity</w:t>
      </w:r>
      <w:r w:rsidR="00FD755B" w:rsidRPr="00FD755B">
        <w:rPr>
          <w:lang w:val="en-GB"/>
        </w:rPr>
        <w:t xml:space="preserve"> will be reported to the </w:t>
      </w:r>
      <w:r w:rsidR="00FD755B" w:rsidRPr="00D423F3">
        <w:rPr>
          <w:b/>
          <w:lang w:val="en-GB"/>
        </w:rPr>
        <w:t>Latvian Financial Intelligence Unit</w:t>
      </w:r>
      <w:r w:rsidR="00FD755B">
        <w:rPr>
          <w:b/>
          <w:lang w:val="en-GB"/>
        </w:rPr>
        <w:t>.</w:t>
      </w:r>
      <w:r w:rsidR="00197B64">
        <w:rPr>
          <w:lang w:val="en-GB"/>
        </w:rPr>
        <w:t xml:space="preserve"> The OCMA</w:t>
      </w:r>
      <w:r w:rsidR="00197B64" w:rsidRPr="00197B64">
        <w:rPr>
          <w:lang w:val="en-GB"/>
        </w:rPr>
        <w:t xml:space="preserve"> also relies on information verified and stored (usually, in public registers) by other State authorities and non-public bodies: </w:t>
      </w:r>
      <w:proofErr w:type="gramStart"/>
      <w:r w:rsidR="00197B64" w:rsidRPr="00197B64">
        <w:rPr>
          <w:lang w:val="en-GB"/>
        </w:rPr>
        <w:t>the</w:t>
      </w:r>
      <w:proofErr w:type="gramEnd"/>
      <w:r w:rsidR="00197B64" w:rsidRPr="00197B64">
        <w:rPr>
          <w:lang w:val="en-GB"/>
        </w:rPr>
        <w:t xml:space="preserve"> State Land Service in relation to investment in real estate; the State Enterprise Register – in relation to investment in business, Latvian central securities depository – in relation to investment in State securities; and the Latvian Investment and Development Agency – in relation to investment in innovations. For evidence of investments in liabilities of credit institutions, the OCMA relies on information provided by the credit institution in whose liabilities the investor has invested.</w:t>
      </w:r>
    </w:p>
    <w:p w14:paraId="6FEF51E1" w14:textId="77777777" w:rsidR="001514A4" w:rsidRDefault="001514A4" w:rsidP="001514A4">
      <w:pPr>
        <w:pStyle w:val="NormalWeb"/>
        <w:spacing w:before="0" w:beforeAutospacing="0" w:after="0" w:afterAutospacing="0"/>
        <w:jc w:val="both"/>
        <w:rPr>
          <w:b/>
          <w:i/>
          <w:sz w:val="22"/>
          <w:szCs w:val="22"/>
        </w:rPr>
      </w:pPr>
    </w:p>
    <w:p w14:paraId="3E7ED11B" w14:textId="6D3D9E50" w:rsidR="00D26993" w:rsidRPr="001514A4" w:rsidRDefault="001514A4" w:rsidP="001514A4">
      <w:pPr>
        <w:pStyle w:val="NormalWeb"/>
        <w:spacing w:before="0" w:beforeAutospacing="0" w:after="0" w:afterAutospacing="0"/>
        <w:jc w:val="both"/>
        <w:rPr>
          <w:b/>
          <w:i/>
          <w:sz w:val="22"/>
          <w:szCs w:val="22"/>
        </w:rPr>
      </w:pPr>
      <w:r w:rsidRPr="001514A4">
        <w:rPr>
          <w:b/>
          <w:i/>
          <w:sz w:val="22"/>
          <w:szCs w:val="22"/>
        </w:rPr>
        <w:t>Conditions and procedure</w:t>
      </w:r>
    </w:p>
    <w:p w14:paraId="7732A700" w14:textId="0E69C3D2" w:rsidR="001514A4" w:rsidRDefault="001514A4" w:rsidP="001514A4">
      <w:pPr>
        <w:pStyle w:val="MMultilevel"/>
        <w:numPr>
          <w:ilvl w:val="0"/>
          <w:numId w:val="0"/>
        </w:numPr>
        <w:rPr>
          <w:lang w:val="en-GB"/>
        </w:rPr>
      </w:pPr>
    </w:p>
    <w:p w14:paraId="0A8A0F35" w14:textId="3DFF0363" w:rsidR="00197B64" w:rsidRPr="004F43EF" w:rsidRDefault="00197B64" w:rsidP="001514A4">
      <w:pPr>
        <w:pStyle w:val="MMultilevel"/>
        <w:numPr>
          <w:ilvl w:val="0"/>
          <w:numId w:val="0"/>
        </w:numPr>
        <w:rPr>
          <w:i/>
          <w:u w:val="single"/>
          <w:lang w:val="en-GB"/>
        </w:rPr>
      </w:pPr>
      <w:r>
        <w:rPr>
          <w:i/>
          <w:u w:val="single"/>
          <w:lang w:val="en-GB"/>
        </w:rPr>
        <w:t>Conditions</w:t>
      </w:r>
    </w:p>
    <w:p w14:paraId="199C5CF5" w14:textId="6BEAE112" w:rsidR="00742ECC" w:rsidRPr="001514A4" w:rsidRDefault="00AE574E" w:rsidP="001514A4">
      <w:pPr>
        <w:pStyle w:val="MMultilevel"/>
        <w:numPr>
          <w:ilvl w:val="0"/>
          <w:numId w:val="0"/>
        </w:numPr>
        <w:rPr>
          <w:lang w:val="en-GB"/>
        </w:rPr>
      </w:pPr>
      <w:r>
        <w:rPr>
          <w:lang w:val="en-GB"/>
        </w:rPr>
        <w:t>Third-country nationals who wish to apply for a</w:t>
      </w:r>
      <w:r w:rsidR="00742ECC" w:rsidRPr="001514A4">
        <w:rPr>
          <w:lang w:val="en-GB"/>
        </w:rPr>
        <w:t xml:space="preserve"> temporary residence permit under the </w:t>
      </w:r>
      <w:r w:rsidR="00742ECC" w:rsidRPr="001514A4">
        <w:rPr>
          <w:b/>
          <w:lang w:val="en-GB"/>
        </w:rPr>
        <w:t>investors’ residence scheme</w:t>
      </w:r>
      <w:r w:rsidR="00742ECC" w:rsidRPr="001514A4">
        <w:rPr>
          <w:lang w:val="en-GB"/>
        </w:rPr>
        <w:t xml:space="preserve"> </w:t>
      </w:r>
      <w:r>
        <w:rPr>
          <w:lang w:val="en-GB"/>
        </w:rPr>
        <w:t xml:space="preserve">in Latvia must </w:t>
      </w:r>
      <w:r w:rsidR="00D423F3">
        <w:rPr>
          <w:lang w:val="en-GB"/>
        </w:rPr>
        <w:t>make an</w:t>
      </w:r>
      <w:r w:rsidR="007C72E2">
        <w:rPr>
          <w:lang w:val="en-GB"/>
        </w:rPr>
        <w:t xml:space="preserve"> </w:t>
      </w:r>
      <w:r w:rsidR="007C72E2" w:rsidRPr="00AE574E">
        <w:rPr>
          <w:b/>
          <w:lang w:val="en-GB"/>
        </w:rPr>
        <w:t>investment</w:t>
      </w:r>
      <w:r w:rsidR="007C72E2">
        <w:rPr>
          <w:lang w:val="en-GB"/>
        </w:rPr>
        <w:t>. The table below shows the type of investment</w:t>
      </w:r>
      <w:r>
        <w:rPr>
          <w:lang w:val="en-GB"/>
        </w:rPr>
        <w:t>s that third-country nationals can carry out to apply for a temporary residence permit</w:t>
      </w:r>
      <w:r w:rsidR="007C72E2">
        <w:rPr>
          <w:lang w:val="en-GB"/>
        </w:rPr>
        <w:t xml:space="preserve">, the minimum financial threshold </w:t>
      </w:r>
      <w:r>
        <w:rPr>
          <w:lang w:val="en-GB"/>
        </w:rPr>
        <w:t xml:space="preserve">of each type of investment </w:t>
      </w:r>
      <w:r w:rsidR="007C72E2">
        <w:rPr>
          <w:lang w:val="en-GB"/>
        </w:rPr>
        <w:t xml:space="preserve">and the period of validity of the </w:t>
      </w:r>
      <w:r>
        <w:rPr>
          <w:lang w:val="en-GB"/>
        </w:rPr>
        <w:t xml:space="preserve">issued </w:t>
      </w:r>
      <w:r w:rsidR="007C72E2">
        <w:rPr>
          <w:lang w:val="en-GB"/>
        </w:rPr>
        <w:t>temporary residence permit depending on the type of investment</w:t>
      </w:r>
      <w:r w:rsidR="00D423F3">
        <w:rPr>
          <w:lang w:val="en-GB"/>
        </w:rPr>
        <w:t>.</w:t>
      </w:r>
      <w:r>
        <w:rPr>
          <w:rStyle w:val="FootnoteReference"/>
          <w:lang w:val="en-GB"/>
        </w:rPr>
        <w:footnoteReference w:id="5"/>
      </w:r>
      <w:r w:rsidR="007C72E2">
        <w:rPr>
          <w:lang w:val="en-GB"/>
        </w:rPr>
        <w:t xml:space="preserve"> </w:t>
      </w:r>
    </w:p>
    <w:p w14:paraId="1C9121C4" w14:textId="264301FB" w:rsidR="00E40FE3" w:rsidRDefault="00E40FE3" w:rsidP="004C106A">
      <w:pPr>
        <w:pStyle w:val="MMultilevel"/>
        <w:numPr>
          <w:ilvl w:val="0"/>
          <w:numId w:val="0"/>
        </w:numPr>
        <w:rPr>
          <w:lang w:val="en-GB"/>
        </w:rPr>
      </w:pPr>
      <w:r>
        <w:rPr>
          <w:lang w:val="en-GB"/>
        </w:rPr>
        <w:br w:type="page"/>
      </w:r>
    </w:p>
    <w:p w14:paraId="73AFC988" w14:textId="77777777" w:rsidR="00742ECC" w:rsidRDefault="00742ECC" w:rsidP="004C106A">
      <w:pPr>
        <w:pStyle w:val="MMultilevel"/>
        <w:numPr>
          <w:ilvl w:val="0"/>
          <w:numId w:val="0"/>
        </w:numPr>
        <w:rPr>
          <w:lang w:val="en-GB"/>
        </w:rPr>
      </w:pPr>
    </w:p>
    <w:tbl>
      <w:tblPr>
        <w:tblStyle w:val="ListTable3-Accent1"/>
        <w:tblW w:w="907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A0" w:firstRow="1" w:lastRow="0" w:firstColumn="1" w:lastColumn="0" w:noHBand="1" w:noVBand="1"/>
      </w:tblPr>
      <w:tblGrid>
        <w:gridCol w:w="2117"/>
        <w:gridCol w:w="4961"/>
        <w:gridCol w:w="1994"/>
      </w:tblGrid>
      <w:tr w:rsidR="00C22DDF" w:rsidRPr="0085426F" w14:paraId="23EE39C2" w14:textId="77777777" w:rsidTr="00D423F3">
        <w:trPr>
          <w:cnfStyle w:val="100000000000" w:firstRow="1" w:lastRow="0" w:firstColumn="0" w:lastColumn="0" w:oddVBand="0" w:evenVBand="0" w:oddHBand="0" w:evenHBand="0" w:firstRowFirstColumn="0" w:firstRowLastColumn="0" w:lastRowFirstColumn="0" w:lastRowLastColumn="0"/>
          <w:trHeight w:val="412"/>
        </w:trPr>
        <w:tc>
          <w:tcPr>
            <w:cnfStyle w:val="001000000100" w:firstRow="0" w:lastRow="0" w:firstColumn="1" w:lastColumn="0" w:oddVBand="0" w:evenVBand="0" w:oddHBand="0" w:evenHBand="0" w:firstRowFirstColumn="1" w:firstRowLastColumn="0" w:lastRowFirstColumn="0" w:lastRowLastColumn="0"/>
            <w:tcW w:w="2117" w:type="dxa"/>
            <w:tcBorders>
              <w:bottom w:val="none" w:sz="0" w:space="0" w:color="auto"/>
              <w:right w:val="none" w:sz="0" w:space="0" w:color="auto"/>
            </w:tcBorders>
            <w:noWrap/>
          </w:tcPr>
          <w:p w14:paraId="78014F4D" w14:textId="77777777" w:rsidR="00C22DDF" w:rsidRPr="0085426F" w:rsidRDefault="00C22DDF" w:rsidP="00907763">
            <w:pPr>
              <w:spacing w:before="120" w:after="120"/>
              <w:rPr>
                <w:rFonts w:ascii="Century Gothic" w:hAnsi="Century Gothic"/>
                <w:i/>
                <w:sz w:val="16"/>
                <w:szCs w:val="16"/>
              </w:rPr>
            </w:pPr>
            <w:r w:rsidRPr="0085426F">
              <w:rPr>
                <w:rFonts w:ascii="Century Gothic" w:hAnsi="Century Gothic"/>
                <w:i/>
                <w:sz w:val="16"/>
                <w:szCs w:val="16"/>
              </w:rPr>
              <w:t>Type of investment</w:t>
            </w:r>
          </w:p>
        </w:tc>
        <w:tc>
          <w:tcPr>
            <w:tcW w:w="4961" w:type="dxa"/>
            <w:noWrap/>
          </w:tcPr>
          <w:p w14:paraId="654C2FB0" w14:textId="06BB1313" w:rsidR="00C22DDF" w:rsidRPr="0085426F" w:rsidRDefault="00C22DDF" w:rsidP="007C72E2">
            <w:pPr>
              <w:spacing w:before="120" w:after="120"/>
              <w:ind w:left="849"/>
              <w:cnfStyle w:val="100000000000" w:firstRow="1" w:lastRow="0" w:firstColumn="0" w:lastColumn="0" w:oddVBand="0" w:evenVBand="0" w:oddHBand="0" w:evenHBand="0" w:firstRowFirstColumn="0" w:firstRowLastColumn="0" w:lastRowFirstColumn="0" w:lastRowLastColumn="0"/>
              <w:rPr>
                <w:rFonts w:ascii="Century Gothic" w:hAnsi="Century Gothic"/>
                <w:i/>
                <w:sz w:val="16"/>
                <w:szCs w:val="16"/>
              </w:rPr>
            </w:pPr>
            <w:r w:rsidRPr="0085426F">
              <w:rPr>
                <w:rFonts w:ascii="Century Gothic" w:hAnsi="Century Gothic"/>
                <w:i/>
                <w:sz w:val="16"/>
                <w:szCs w:val="16"/>
              </w:rPr>
              <w:t xml:space="preserve">Minimum </w:t>
            </w:r>
            <w:r w:rsidR="007C72E2" w:rsidRPr="0085426F">
              <w:rPr>
                <w:rFonts w:ascii="Century Gothic" w:hAnsi="Century Gothic"/>
                <w:i/>
                <w:sz w:val="16"/>
                <w:szCs w:val="16"/>
              </w:rPr>
              <w:t>financial threshold</w:t>
            </w:r>
          </w:p>
        </w:tc>
        <w:tc>
          <w:tcPr>
            <w:tcW w:w="1994" w:type="dxa"/>
            <w:noWrap/>
          </w:tcPr>
          <w:p w14:paraId="36CE5060" w14:textId="70D34300" w:rsidR="00C22DDF" w:rsidRPr="0085426F" w:rsidRDefault="001514A4" w:rsidP="00907763">
            <w:pPr>
              <w:spacing w:before="120" w:after="120"/>
              <w:jc w:val="center"/>
              <w:cnfStyle w:val="100000000000" w:firstRow="1" w:lastRow="0" w:firstColumn="0" w:lastColumn="0" w:oddVBand="0" w:evenVBand="0" w:oddHBand="0" w:evenHBand="0" w:firstRowFirstColumn="0" w:firstRowLastColumn="0" w:lastRowFirstColumn="0" w:lastRowLastColumn="0"/>
              <w:rPr>
                <w:rFonts w:ascii="Century Gothic" w:hAnsi="Century Gothic"/>
                <w:i/>
                <w:sz w:val="16"/>
                <w:szCs w:val="16"/>
              </w:rPr>
            </w:pPr>
            <w:r w:rsidRPr="0085426F">
              <w:rPr>
                <w:rFonts w:ascii="Century Gothic" w:hAnsi="Century Gothic"/>
                <w:i/>
                <w:sz w:val="16"/>
                <w:szCs w:val="16"/>
              </w:rPr>
              <w:t>Temporary r</w:t>
            </w:r>
            <w:r w:rsidR="00C22DDF" w:rsidRPr="0085426F">
              <w:rPr>
                <w:rFonts w:ascii="Century Gothic" w:hAnsi="Century Gothic"/>
                <w:i/>
                <w:sz w:val="16"/>
                <w:szCs w:val="16"/>
              </w:rPr>
              <w:t>esidence permit</w:t>
            </w:r>
          </w:p>
        </w:tc>
      </w:tr>
      <w:tr w:rsidR="00C22DDF" w:rsidRPr="0085426F" w14:paraId="587350AA" w14:textId="77777777" w:rsidTr="00D423F3">
        <w:trPr>
          <w:trHeight w:val="504"/>
        </w:trPr>
        <w:tc>
          <w:tcPr>
            <w:cnfStyle w:val="001000000000" w:firstRow="0" w:lastRow="0" w:firstColumn="1" w:lastColumn="0" w:oddVBand="0" w:evenVBand="0" w:oddHBand="0" w:evenHBand="0" w:firstRowFirstColumn="0" w:firstRowLastColumn="0" w:lastRowFirstColumn="0" w:lastRowLastColumn="0"/>
            <w:tcW w:w="2117" w:type="dxa"/>
            <w:tcBorders>
              <w:right w:val="none" w:sz="0" w:space="0" w:color="auto"/>
            </w:tcBorders>
            <w:shd w:val="clear" w:color="auto" w:fill="D9E2F3" w:themeFill="accent1" w:themeFillTint="33"/>
            <w:noWrap/>
            <w:hideMark/>
          </w:tcPr>
          <w:p w14:paraId="4E843D38" w14:textId="39822923" w:rsidR="00C22DDF" w:rsidRPr="0085426F" w:rsidRDefault="00C22DDF" w:rsidP="00D423F3">
            <w:pPr>
              <w:jc w:val="both"/>
              <w:rPr>
                <w:rFonts w:ascii="Century Gothic" w:hAnsi="Century Gothic"/>
                <w:sz w:val="16"/>
                <w:szCs w:val="16"/>
                <w:lang w:eastAsia="nl-BE"/>
              </w:rPr>
            </w:pPr>
            <w:r w:rsidRPr="0085426F">
              <w:rPr>
                <w:rFonts w:ascii="Century Gothic" w:hAnsi="Century Gothic"/>
                <w:sz w:val="16"/>
                <w:szCs w:val="16"/>
              </w:rPr>
              <w:t>Real estate</w:t>
            </w:r>
          </w:p>
        </w:tc>
        <w:tc>
          <w:tcPr>
            <w:tcW w:w="4961" w:type="dxa"/>
            <w:shd w:val="clear" w:color="auto" w:fill="D9E2F3" w:themeFill="accent1" w:themeFillTint="33"/>
            <w:noWrap/>
            <w:hideMark/>
          </w:tcPr>
          <w:p w14:paraId="6429B8BE" w14:textId="4D9F566F" w:rsidR="00C22DDF" w:rsidRPr="0085426F" w:rsidRDefault="00C22DDF" w:rsidP="00D423F3">
            <w:pPr>
              <w:cnfStyle w:val="000000000000" w:firstRow="0" w:lastRow="0" w:firstColumn="0" w:lastColumn="0" w:oddVBand="0" w:evenVBand="0" w:oddHBand="0" w:evenHBand="0" w:firstRowFirstColumn="0" w:firstRowLastColumn="0" w:lastRowFirstColumn="0" w:lastRowLastColumn="0"/>
              <w:rPr>
                <w:rFonts w:ascii="Century Gothic" w:hAnsi="Century Gothic"/>
                <w:sz w:val="16"/>
                <w:szCs w:val="16"/>
              </w:rPr>
            </w:pPr>
            <w:r w:rsidRPr="0085426F">
              <w:rPr>
                <w:rFonts w:ascii="Century Gothic" w:hAnsi="Century Gothic"/>
                <w:sz w:val="16"/>
                <w:szCs w:val="16"/>
              </w:rPr>
              <w:t xml:space="preserve">EUR 250 000 </w:t>
            </w:r>
          </w:p>
          <w:p w14:paraId="2FA13F18" w14:textId="6175FB59" w:rsidR="00C22DDF" w:rsidRPr="0085426F" w:rsidRDefault="00C22DDF" w:rsidP="00D423F3">
            <w:pPr>
              <w:cnfStyle w:val="000000000000" w:firstRow="0" w:lastRow="0" w:firstColumn="0" w:lastColumn="0" w:oddVBand="0" w:evenVBand="0" w:oddHBand="0" w:evenHBand="0" w:firstRowFirstColumn="0" w:firstRowLastColumn="0" w:lastRowFirstColumn="0" w:lastRowLastColumn="0"/>
              <w:rPr>
                <w:rFonts w:ascii="Century Gothic" w:hAnsi="Century Gothic"/>
                <w:sz w:val="16"/>
                <w:szCs w:val="16"/>
              </w:rPr>
            </w:pPr>
            <w:r w:rsidRPr="0085426F">
              <w:rPr>
                <w:rFonts w:ascii="Century Gothic" w:hAnsi="Century Gothic"/>
                <w:sz w:val="16"/>
                <w:szCs w:val="16"/>
              </w:rPr>
              <w:t>+ 5% payment to the State budget</w:t>
            </w:r>
          </w:p>
          <w:p w14:paraId="57FE4F0A" w14:textId="77777777" w:rsidR="00C22DDF" w:rsidRPr="0085426F" w:rsidRDefault="00C22DDF" w:rsidP="00907763">
            <w:pPr>
              <w:pStyle w:val="ListParagraph"/>
              <w:ind w:left="283"/>
              <w:cnfStyle w:val="000000000000" w:firstRow="0" w:lastRow="0" w:firstColumn="0" w:lastColumn="0" w:oddVBand="0" w:evenVBand="0" w:oddHBand="0" w:evenHBand="0" w:firstRowFirstColumn="0" w:firstRowLastColumn="0" w:lastRowFirstColumn="0" w:lastRowLastColumn="0"/>
              <w:rPr>
                <w:rFonts w:ascii="Century Gothic" w:hAnsi="Century Gothic"/>
                <w:sz w:val="16"/>
                <w:szCs w:val="16"/>
              </w:rPr>
            </w:pPr>
          </w:p>
        </w:tc>
        <w:tc>
          <w:tcPr>
            <w:tcW w:w="1994" w:type="dxa"/>
            <w:shd w:val="clear" w:color="auto" w:fill="D9E2F3" w:themeFill="accent1" w:themeFillTint="33"/>
            <w:noWrap/>
            <w:hideMark/>
          </w:tcPr>
          <w:p w14:paraId="522B0BDF" w14:textId="0B907C9F" w:rsidR="00C22DDF" w:rsidRPr="0085426F" w:rsidRDefault="001514A4" w:rsidP="0090776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sz w:val="16"/>
                <w:szCs w:val="16"/>
              </w:rPr>
            </w:pPr>
            <w:r w:rsidRPr="0085426F">
              <w:rPr>
                <w:rFonts w:ascii="Century Gothic" w:hAnsi="Century Gothic"/>
                <w:sz w:val="16"/>
                <w:szCs w:val="16"/>
              </w:rPr>
              <w:t>Up to</w:t>
            </w:r>
            <w:r w:rsidR="00C22DDF" w:rsidRPr="0085426F">
              <w:rPr>
                <w:rFonts w:ascii="Century Gothic" w:hAnsi="Century Gothic"/>
                <w:sz w:val="16"/>
                <w:szCs w:val="16"/>
              </w:rPr>
              <w:t xml:space="preserve"> 5 years</w:t>
            </w:r>
          </w:p>
        </w:tc>
      </w:tr>
      <w:tr w:rsidR="00C22DDF" w:rsidRPr="0085426F" w14:paraId="139D6CC9" w14:textId="77777777" w:rsidTr="00D423F3">
        <w:trPr>
          <w:trHeight w:val="828"/>
        </w:trPr>
        <w:tc>
          <w:tcPr>
            <w:cnfStyle w:val="001000000000" w:firstRow="0" w:lastRow="0" w:firstColumn="1" w:lastColumn="0" w:oddVBand="0" w:evenVBand="0" w:oddHBand="0" w:evenHBand="0" w:firstRowFirstColumn="0" w:firstRowLastColumn="0" w:lastRowFirstColumn="0" w:lastRowLastColumn="0"/>
            <w:tcW w:w="2117" w:type="dxa"/>
            <w:tcBorders>
              <w:right w:val="none" w:sz="0" w:space="0" w:color="auto"/>
            </w:tcBorders>
            <w:shd w:val="clear" w:color="auto" w:fill="D9E2F3" w:themeFill="accent1" w:themeFillTint="33"/>
            <w:noWrap/>
            <w:hideMark/>
          </w:tcPr>
          <w:p w14:paraId="5AEA5DC0" w14:textId="77777777" w:rsidR="00C22DDF" w:rsidRPr="0085426F" w:rsidRDefault="00C22DDF" w:rsidP="00D423F3">
            <w:pPr>
              <w:jc w:val="both"/>
              <w:rPr>
                <w:rFonts w:ascii="Century Gothic" w:hAnsi="Century Gothic"/>
                <w:sz w:val="16"/>
                <w:szCs w:val="16"/>
              </w:rPr>
            </w:pPr>
            <w:r w:rsidRPr="0085426F">
              <w:rPr>
                <w:rFonts w:ascii="Century Gothic" w:hAnsi="Century Gothic"/>
                <w:sz w:val="16"/>
                <w:szCs w:val="16"/>
              </w:rPr>
              <w:t>Business</w:t>
            </w:r>
          </w:p>
        </w:tc>
        <w:tc>
          <w:tcPr>
            <w:tcW w:w="4961" w:type="dxa"/>
            <w:shd w:val="clear" w:color="auto" w:fill="D9E2F3" w:themeFill="accent1" w:themeFillTint="33"/>
            <w:noWrap/>
            <w:hideMark/>
          </w:tcPr>
          <w:p w14:paraId="6C1B8057" w14:textId="29FD3ED4" w:rsidR="00C22DDF" w:rsidRPr="0085426F" w:rsidRDefault="00C22DDF" w:rsidP="00D423F3">
            <w:pPr>
              <w:cnfStyle w:val="000000000000" w:firstRow="0" w:lastRow="0" w:firstColumn="0" w:lastColumn="0" w:oddVBand="0" w:evenVBand="0" w:oddHBand="0" w:evenHBand="0" w:firstRowFirstColumn="0" w:firstRowLastColumn="0" w:lastRowFirstColumn="0" w:lastRowLastColumn="0"/>
              <w:rPr>
                <w:rFonts w:ascii="Century Gothic" w:hAnsi="Century Gothic"/>
                <w:sz w:val="16"/>
                <w:szCs w:val="16"/>
              </w:rPr>
            </w:pPr>
            <w:r w:rsidRPr="0085426F">
              <w:rPr>
                <w:rFonts w:ascii="Century Gothic" w:hAnsi="Century Gothic"/>
                <w:sz w:val="16"/>
                <w:szCs w:val="16"/>
              </w:rPr>
              <w:t>EUR 50 000 or 100 000 investment into capital companies depending on the company’s size (i.e. turnover and the number of persons employed)</w:t>
            </w:r>
          </w:p>
          <w:p w14:paraId="76177187" w14:textId="77777777" w:rsidR="00C22DDF" w:rsidRPr="0085426F" w:rsidRDefault="00C22DDF" w:rsidP="00D423F3">
            <w:pPr>
              <w:cnfStyle w:val="000000000000" w:firstRow="0" w:lastRow="0" w:firstColumn="0" w:lastColumn="0" w:oddVBand="0" w:evenVBand="0" w:oddHBand="0" w:evenHBand="0" w:firstRowFirstColumn="0" w:firstRowLastColumn="0" w:lastRowFirstColumn="0" w:lastRowLastColumn="0"/>
              <w:rPr>
                <w:rFonts w:ascii="Century Gothic" w:hAnsi="Century Gothic"/>
                <w:sz w:val="16"/>
                <w:szCs w:val="16"/>
              </w:rPr>
            </w:pPr>
            <w:r w:rsidRPr="0085426F">
              <w:rPr>
                <w:rFonts w:ascii="Century Gothic" w:hAnsi="Century Gothic"/>
                <w:sz w:val="16"/>
                <w:szCs w:val="16"/>
              </w:rPr>
              <w:t xml:space="preserve">+ EUR 10 000 payment to the State budget </w:t>
            </w:r>
          </w:p>
          <w:p w14:paraId="7C6B45D8" w14:textId="77777777" w:rsidR="00C22DDF" w:rsidRPr="0085426F" w:rsidRDefault="00C22DDF" w:rsidP="00907763">
            <w:pPr>
              <w:pStyle w:val="ListParagraph"/>
              <w:ind w:left="283"/>
              <w:cnfStyle w:val="000000000000" w:firstRow="0" w:lastRow="0" w:firstColumn="0" w:lastColumn="0" w:oddVBand="0" w:evenVBand="0" w:oddHBand="0" w:evenHBand="0" w:firstRowFirstColumn="0" w:firstRowLastColumn="0" w:lastRowFirstColumn="0" w:lastRowLastColumn="0"/>
              <w:rPr>
                <w:rFonts w:ascii="Century Gothic" w:hAnsi="Century Gothic"/>
                <w:sz w:val="16"/>
                <w:szCs w:val="16"/>
              </w:rPr>
            </w:pPr>
          </w:p>
        </w:tc>
        <w:tc>
          <w:tcPr>
            <w:tcW w:w="1994" w:type="dxa"/>
            <w:shd w:val="clear" w:color="auto" w:fill="D9E2F3" w:themeFill="accent1" w:themeFillTint="33"/>
            <w:noWrap/>
            <w:hideMark/>
          </w:tcPr>
          <w:p w14:paraId="3A636EC6" w14:textId="74C7BFC1" w:rsidR="00C22DDF" w:rsidRPr="0085426F" w:rsidRDefault="007C72E2" w:rsidP="0090776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sz w:val="16"/>
                <w:szCs w:val="16"/>
              </w:rPr>
            </w:pPr>
            <w:r w:rsidRPr="0085426F">
              <w:rPr>
                <w:rFonts w:ascii="Century Gothic" w:hAnsi="Century Gothic"/>
                <w:sz w:val="16"/>
                <w:szCs w:val="16"/>
              </w:rPr>
              <w:t xml:space="preserve">Up to </w:t>
            </w:r>
            <w:r w:rsidR="00C22DDF" w:rsidRPr="0085426F">
              <w:rPr>
                <w:rFonts w:ascii="Century Gothic" w:hAnsi="Century Gothic"/>
                <w:sz w:val="16"/>
                <w:szCs w:val="16"/>
              </w:rPr>
              <w:t>5 years</w:t>
            </w:r>
          </w:p>
        </w:tc>
      </w:tr>
      <w:tr w:rsidR="00C22DDF" w:rsidRPr="0085426F" w14:paraId="489470D6" w14:textId="77777777" w:rsidTr="00D423F3">
        <w:trPr>
          <w:trHeight w:val="341"/>
        </w:trPr>
        <w:tc>
          <w:tcPr>
            <w:cnfStyle w:val="001000000000" w:firstRow="0" w:lastRow="0" w:firstColumn="1" w:lastColumn="0" w:oddVBand="0" w:evenVBand="0" w:oddHBand="0" w:evenHBand="0" w:firstRowFirstColumn="0" w:firstRowLastColumn="0" w:lastRowFirstColumn="0" w:lastRowLastColumn="0"/>
            <w:tcW w:w="2117" w:type="dxa"/>
            <w:tcBorders>
              <w:right w:val="none" w:sz="0" w:space="0" w:color="auto"/>
            </w:tcBorders>
            <w:shd w:val="clear" w:color="auto" w:fill="D9E2F3" w:themeFill="accent1" w:themeFillTint="33"/>
            <w:noWrap/>
            <w:hideMark/>
          </w:tcPr>
          <w:p w14:paraId="1963201B" w14:textId="670228D3" w:rsidR="00C22DDF" w:rsidRPr="0085426F" w:rsidRDefault="00C22DDF" w:rsidP="00D423F3">
            <w:pPr>
              <w:rPr>
                <w:rFonts w:ascii="Century Gothic" w:hAnsi="Century Gothic"/>
                <w:sz w:val="16"/>
                <w:szCs w:val="16"/>
              </w:rPr>
            </w:pPr>
            <w:r w:rsidRPr="0085426F">
              <w:rPr>
                <w:rFonts w:ascii="Century Gothic" w:hAnsi="Century Gothic"/>
                <w:sz w:val="16"/>
                <w:szCs w:val="16"/>
              </w:rPr>
              <w:t xml:space="preserve">Subordinate liabilities </w:t>
            </w:r>
            <w:r w:rsidR="006C3006" w:rsidRPr="0085426F">
              <w:rPr>
                <w:rFonts w:ascii="Century Gothic" w:hAnsi="Century Gothic"/>
                <w:sz w:val="16"/>
                <w:szCs w:val="16"/>
              </w:rPr>
              <w:t>of</w:t>
            </w:r>
            <w:r w:rsidRPr="0085426F">
              <w:rPr>
                <w:rFonts w:ascii="Century Gothic" w:hAnsi="Century Gothic"/>
                <w:sz w:val="16"/>
                <w:szCs w:val="16"/>
              </w:rPr>
              <w:t xml:space="preserve"> credit institutions</w:t>
            </w:r>
          </w:p>
          <w:p w14:paraId="0AD3716C" w14:textId="77777777" w:rsidR="00C22DDF" w:rsidRPr="0085426F" w:rsidRDefault="00C22DDF" w:rsidP="00907763">
            <w:pPr>
              <w:pStyle w:val="ListParagraph"/>
              <w:ind w:left="306" w:hanging="306"/>
              <w:rPr>
                <w:rFonts w:ascii="Century Gothic" w:hAnsi="Century Gothic"/>
                <w:sz w:val="16"/>
                <w:szCs w:val="16"/>
              </w:rPr>
            </w:pPr>
          </w:p>
        </w:tc>
        <w:tc>
          <w:tcPr>
            <w:tcW w:w="4961" w:type="dxa"/>
            <w:shd w:val="clear" w:color="auto" w:fill="D9E2F3" w:themeFill="accent1" w:themeFillTint="33"/>
            <w:noWrap/>
            <w:hideMark/>
          </w:tcPr>
          <w:p w14:paraId="6CB2E5E4" w14:textId="40172CCA" w:rsidR="00C22DDF" w:rsidRPr="0085426F" w:rsidRDefault="00C22DDF" w:rsidP="00D423F3">
            <w:pPr>
              <w:cnfStyle w:val="000000000000" w:firstRow="0" w:lastRow="0" w:firstColumn="0" w:lastColumn="0" w:oddVBand="0" w:evenVBand="0" w:oddHBand="0" w:evenHBand="0" w:firstRowFirstColumn="0" w:firstRowLastColumn="0" w:lastRowFirstColumn="0" w:lastRowLastColumn="0"/>
              <w:rPr>
                <w:rFonts w:ascii="Century Gothic" w:hAnsi="Century Gothic"/>
                <w:sz w:val="16"/>
                <w:szCs w:val="16"/>
              </w:rPr>
            </w:pPr>
            <w:r w:rsidRPr="0085426F">
              <w:rPr>
                <w:rFonts w:ascii="Century Gothic" w:hAnsi="Century Gothic"/>
                <w:sz w:val="16"/>
                <w:szCs w:val="16"/>
              </w:rPr>
              <w:t xml:space="preserve">EUR 280 000 </w:t>
            </w:r>
          </w:p>
          <w:p w14:paraId="262A5BBC" w14:textId="77777777" w:rsidR="00C22DDF" w:rsidRPr="0085426F" w:rsidRDefault="00C22DDF" w:rsidP="00D423F3">
            <w:pPr>
              <w:cnfStyle w:val="000000000000" w:firstRow="0" w:lastRow="0" w:firstColumn="0" w:lastColumn="0" w:oddVBand="0" w:evenVBand="0" w:oddHBand="0" w:evenHBand="0" w:firstRowFirstColumn="0" w:firstRowLastColumn="0" w:lastRowFirstColumn="0" w:lastRowLastColumn="0"/>
              <w:rPr>
                <w:rFonts w:ascii="Century Gothic" w:hAnsi="Century Gothic"/>
                <w:sz w:val="16"/>
                <w:szCs w:val="16"/>
              </w:rPr>
            </w:pPr>
            <w:r w:rsidRPr="0085426F">
              <w:rPr>
                <w:rFonts w:ascii="Century Gothic" w:hAnsi="Century Gothic"/>
                <w:sz w:val="16"/>
                <w:szCs w:val="16"/>
              </w:rPr>
              <w:t>+ EUR 25 000 payment to the State budget</w:t>
            </w:r>
          </w:p>
          <w:p w14:paraId="420DF12C" w14:textId="77777777" w:rsidR="00C22DDF" w:rsidRPr="0085426F" w:rsidRDefault="00C22DDF" w:rsidP="00907763">
            <w:pPr>
              <w:pStyle w:val="ListParagraph"/>
              <w:ind w:left="283"/>
              <w:cnfStyle w:val="000000000000" w:firstRow="0" w:lastRow="0" w:firstColumn="0" w:lastColumn="0" w:oddVBand="0" w:evenVBand="0" w:oddHBand="0" w:evenHBand="0" w:firstRowFirstColumn="0" w:firstRowLastColumn="0" w:lastRowFirstColumn="0" w:lastRowLastColumn="0"/>
              <w:rPr>
                <w:rFonts w:ascii="Century Gothic" w:hAnsi="Century Gothic"/>
                <w:sz w:val="16"/>
                <w:szCs w:val="16"/>
              </w:rPr>
            </w:pPr>
          </w:p>
        </w:tc>
        <w:tc>
          <w:tcPr>
            <w:tcW w:w="1994" w:type="dxa"/>
            <w:shd w:val="clear" w:color="auto" w:fill="D9E2F3" w:themeFill="accent1" w:themeFillTint="33"/>
            <w:noWrap/>
            <w:hideMark/>
          </w:tcPr>
          <w:p w14:paraId="2BE9EF77" w14:textId="6B9BC888" w:rsidR="00C22DDF" w:rsidRPr="0085426F" w:rsidRDefault="007C72E2" w:rsidP="0090776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sz w:val="16"/>
                <w:szCs w:val="16"/>
              </w:rPr>
            </w:pPr>
            <w:r w:rsidRPr="0085426F">
              <w:rPr>
                <w:rFonts w:ascii="Century Gothic" w:hAnsi="Century Gothic"/>
                <w:sz w:val="16"/>
                <w:szCs w:val="16"/>
              </w:rPr>
              <w:t>Up to</w:t>
            </w:r>
            <w:r w:rsidR="00C22DDF" w:rsidRPr="0085426F">
              <w:rPr>
                <w:rFonts w:ascii="Century Gothic" w:hAnsi="Century Gothic"/>
                <w:sz w:val="16"/>
                <w:szCs w:val="16"/>
              </w:rPr>
              <w:t xml:space="preserve"> 5 years</w:t>
            </w:r>
          </w:p>
        </w:tc>
      </w:tr>
      <w:tr w:rsidR="00C22DDF" w:rsidRPr="0085426F" w14:paraId="0128B4EA" w14:textId="77777777" w:rsidTr="00D423F3">
        <w:trPr>
          <w:trHeight w:val="341"/>
        </w:trPr>
        <w:tc>
          <w:tcPr>
            <w:cnfStyle w:val="001000000000" w:firstRow="0" w:lastRow="0" w:firstColumn="1" w:lastColumn="0" w:oddVBand="0" w:evenVBand="0" w:oddHBand="0" w:evenHBand="0" w:firstRowFirstColumn="0" w:firstRowLastColumn="0" w:lastRowFirstColumn="0" w:lastRowLastColumn="0"/>
            <w:tcW w:w="2117" w:type="dxa"/>
            <w:tcBorders>
              <w:right w:val="none" w:sz="0" w:space="0" w:color="auto"/>
            </w:tcBorders>
            <w:shd w:val="clear" w:color="auto" w:fill="D9E2F3" w:themeFill="accent1" w:themeFillTint="33"/>
            <w:noWrap/>
          </w:tcPr>
          <w:p w14:paraId="01B99BF6" w14:textId="77777777" w:rsidR="00C22DDF" w:rsidRPr="0085426F" w:rsidRDefault="00C22DDF" w:rsidP="00D423F3">
            <w:pPr>
              <w:jc w:val="both"/>
              <w:rPr>
                <w:rFonts w:ascii="Century Gothic" w:hAnsi="Century Gothic"/>
                <w:sz w:val="16"/>
                <w:szCs w:val="16"/>
              </w:rPr>
            </w:pPr>
            <w:r w:rsidRPr="0085426F">
              <w:rPr>
                <w:rFonts w:ascii="Century Gothic" w:hAnsi="Century Gothic"/>
                <w:sz w:val="16"/>
                <w:szCs w:val="16"/>
              </w:rPr>
              <w:t>State securities</w:t>
            </w:r>
          </w:p>
        </w:tc>
        <w:tc>
          <w:tcPr>
            <w:tcW w:w="4961" w:type="dxa"/>
            <w:shd w:val="clear" w:color="auto" w:fill="D9E2F3" w:themeFill="accent1" w:themeFillTint="33"/>
            <w:noWrap/>
          </w:tcPr>
          <w:p w14:paraId="48A0D427" w14:textId="541E1587" w:rsidR="00C22DDF" w:rsidRPr="0085426F" w:rsidRDefault="00C22DDF" w:rsidP="00D423F3">
            <w:pPr>
              <w:cnfStyle w:val="000000000000" w:firstRow="0" w:lastRow="0" w:firstColumn="0" w:lastColumn="0" w:oddVBand="0" w:evenVBand="0" w:oddHBand="0" w:evenHBand="0" w:firstRowFirstColumn="0" w:firstRowLastColumn="0" w:lastRowFirstColumn="0" w:lastRowLastColumn="0"/>
              <w:rPr>
                <w:rFonts w:ascii="Century Gothic" w:hAnsi="Century Gothic"/>
                <w:sz w:val="16"/>
                <w:szCs w:val="16"/>
              </w:rPr>
            </w:pPr>
            <w:r w:rsidRPr="0085426F">
              <w:rPr>
                <w:rFonts w:ascii="Century Gothic" w:hAnsi="Century Gothic"/>
                <w:sz w:val="16"/>
                <w:szCs w:val="16"/>
              </w:rPr>
              <w:t>EUR 250 000</w:t>
            </w:r>
          </w:p>
          <w:p w14:paraId="28A65587" w14:textId="031BC4F9" w:rsidR="00C22DDF" w:rsidRPr="0085426F" w:rsidRDefault="00C22DDF" w:rsidP="0085426F">
            <w:pPr>
              <w:cnfStyle w:val="000000000000" w:firstRow="0" w:lastRow="0" w:firstColumn="0" w:lastColumn="0" w:oddVBand="0" w:evenVBand="0" w:oddHBand="0" w:evenHBand="0" w:firstRowFirstColumn="0" w:firstRowLastColumn="0" w:lastRowFirstColumn="0" w:lastRowLastColumn="0"/>
              <w:rPr>
                <w:rFonts w:ascii="Century Gothic" w:hAnsi="Century Gothic"/>
                <w:sz w:val="16"/>
                <w:szCs w:val="16"/>
              </w:rPr>
            </w:pPr>
            <w:r w:rsidRPr="0085426F">
              <w:rPr>
                <w:rFonts w:ascii="Century Gothic" w:hAnsi="Century Gothic"/>
                <w:sz w:val="16"/>
                <w:szCs w:val="16"/>
              </w:rPr>
              <w:t>+ EUR 38 000 payment to the State budget</w:t>
            </w:r>
          </w:p>
        </w:tc>
        <w:tc>
          <w:tcPr>
            <w:tcW w:w="1994" w:type="dxa"/>
            <w:shd w:val="clear" w:color="auto" w:fill="D9E2F3" w:themeFill="accent1" w:themeFillTint="33"/>
            <w:noWrap/>
          </w:tcPr>
          <w:p w14:paraId="102BF37D" w14:textId="5B114B37" w:rsidR="00C22DDF" w:rsidRPr="0085426F" w:rsidRDefault="007C72E2" w:rsidP="0090776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sz w:val="16"/>
                <w:szCs w:val="16"/>
              </w:rPr>
            </w:pPr>
            <w:r w:rsidRPr="0085426F">
              <w:rPr>
                <w:rFonts w:ascii="Century Gothic" w:hAnsi="Century Gothic"/>
                <w:sz w:val="16"/>
                <w:szCs w:val="16"/>
              </w:rPr>
              <w:t>Up to</w:t>
            </w:r>
            <w:r w:rsidR="00C22DDF" w:rsidRPr="0085426F">
              <w:rPr>
                <w:rFonts w:ascii="Century Gothic" w:hAnsi="Century Gothic"/>
                <w:sz w:val="16"/>
                <w:szCs w:val="16"/>
              </w:rPr>
              <w:t xml:space="preserve"> 5 years</w:t>
            </w:r>
          </w:p>
        </w:tc>
      </w:tr>
      <w:tr w:rsidR="00C22DDF" w:rsidRPr="0085426F" w14:paraId="0AF19487" w14:textId="77777777" w:rsidTr="00D423F3">
        <w:trPr>
          <w:trHeight w:val="341"/>
        </w:trPr>
        <w:tc>
          <w:tcPr>
            <w:cnfStyle w:val="001000000000" w:firstRow="0" w:lastRow="0" w:firstColumn="1" w:lastColumn="0" w:oddVBand="0" w:evenVBand="0" w:oddHBand="0" w:evenHBand="0" w:firstRowFirstColumn="0" w:firstRowLastColumn="0" w:lastRowFirstColumn="0" w:lastRowLastColumn="0"/>
            <w:tcW w:w="2117" w:type="dxa"/>
            <w:tcBorders>
              <w:right w:val="none" w:sz="0" w:space="0" w:color="auto"/>
            </w:tcBorders>
            <w:shd w:val="clear" w:color="auto" w:fill="D9E2F3" w:themeFill="accent1" w:themeFillTint="33"/>
            <w:noWrap/>
          </w:tcPr>
          <w:p w14:paraId="11B138D2" w14:textId="77777777" w:rsidR="00C22DDF" w:rsidRPr="0085426F" w:rsidRDefault="00C22DDF" w:rsidP="00D423F3">
            <w:pPr>
              <w:jc w:val="both"/>
              <w:rPr>
                <w:rFonts w:ascii="Century Gothic" w:hAnsi="Century Gothic"/>
                <w:sz w:val="16"/>
                <w:szCs w:val="16"/>
              </w:rPr>
            </w:pPr>
            <w:r w:rsidRPr="0085426F">
              <w:rPr>
                <w:rFonts w:ascii="Century Gothic" w:hAnsi="Century Gothic"/>
                <w:sz w:val="16"/>
                <w:szCs w:val="16"/>
              </w:rPr>
              <w:t>Innovations</w:t>
            </w:r>
          </w:p>
        </w:tc>
        <w:tc>
          <w:tcPr>
            <w:tcW w:w="4961" w:type="dxa"/>
            <w:shd w:val="clear" w:color="auto" w:fill="D9E2F3" w:themeFill="accent1" w:themeFillTint="33"/>
            <w:noWrap/>
          </w:tcPr>
          <w:p w14:paraId="56DD9287" w14:textId="212CB536" w:rsidR="00C22DDF" w:rsidRPr="0085426F" w:rsidRDefault="00C22DDF" w:rsidP="00D423F3">
            <w:pPr>
              <w:cnfStyle w:val="000000000000" w:firstRow="0" w:lastRow="0" w:firstColumn="0" w:lastColumn="0" w:oddVBand="0" w:evenVBand="0" w:oddHBand="0" w:evenHBand="0" w:firstRowFirstColumn="0" w:firstRowLastColumn="0" w:lastRowFirstColumn="0" w:lastRowLastColumn="0"/>
              <w:rPr>
                <w:rFonts w:ascii="Century Gothic" w:hAnsi="Century Gothic"/>
                <w:sz w:val="16"/>
                <w:szCs w:val="16"/>
              </w:rPr>
            </w:pPr>
            <w:r w:rsidRPr="0085426F">
              <w:rPr>
                <w:rFonts w:ascii="Century Gothic" w:hAnsi="Century Gothic"/>
                <w:sz w:val="16"/>
                <w:szCs w:val="16"/>
              </w:rPr>
              <w:t>EUR 30 000 within the first 6 months</w:t>
            </w:r>
          </w:p>
          <w:p w14:paraId="0D4B19E7" w14:textId="39F678F0" w:rsidR="00C22DDF" w:rsidRPr="0085426F" w:rsidRDefault="007C72E2" w:rsidP="00D423F3">
            <w:pPr>
              <w:cnfStyle w:val="000000000000" w:firstRow="0" w:lastRow="0" w:firstColumn="0" w:lastColumn="0" w:oddVBand="0" w:evenVBand="0" w:oddHBand="0" w:evenHBand="0" w:firstRowFirstColumn="0" w:firstRowLastColumn="0" w:lastRowFirstColumn="0" w:lastRowLastColumn="0"/>
              <w:rPr>
                <w:rFonts w:ascii="Century Gothic" w:hAnsi="Century Gothic"/>
                <w:sz w:val="16"/>
                <w:szCs w:val="16"/>
              </w:rPr>
            </w:pPr>
            <w:r w:rsidRPr="0085426F">
              <w:rPr>
                <w:rFonts w:ascii="Century Gothic" w:hAnsi="Century Gothic"/>
                <w:sz w:val="16"/>
                <w:szCs w:val="16"/>
              </w:rPr>
              <w:t xml:space="preserve">+ </w:t>
            </w:r>
            <w:r w:rsidR="00C22DDF" w:rsidRPr="0085426F">
              <w:rPr>
                <w:rFonts w:ascii="Century Gothic" w:hAnsi="Century Gothic"/>
                <w:sz w:val="16"/>
                <w:szCs w:val="16"/>
              </w:rPr>
              <w:t>EUR 60 000 within 18 months</w:t>
            </w:r>
          </w:p>
        </w:tc>
        <w:tc>
          <w:tcPr>
            <w:tcW w:w="1994" w:type="dxa"/>
            <w:shd w:val="clear" w:color="auto" w:fill="D9E2F3" w:themeFill="accent1" w:themeFillTint="33"/>
            <w:noWrap/>
          </w:tcPr>
          <w:p w14:paraId="152D6E6A" w14:textId="724E476E" w:rsidR="00C22DDF" w:rsidRPr="0085426F" w:rsidRDefault="007C72E2" w:rsidP="0090776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sz w:val="16"/>
                <w:szCs w:val="16"/>
              </w:rPr>
            </w:pPr>
            <w:r w:rsidRPr="0085426F">
              <w:rPr>
                <w:rFonts w:ascii="Century Gothic" w:hAnsi="Century Gothic"/>
                <w:sz w:val="16"/>
                <w:szCs w:val="16"/>
              </w:rPr>
              <w:t>Up to</w:t>
            </w:r>
            <w:r w:rsidR="00C22DDF" w:rsidRPr="0085426F">
              <w:rPr>
                <w:rFonts w:ascii="Century Gothic" w:hAnsi="Century Gothic"/>
                <w:sz w:val="16"/>
                <w:szCs w:val="16"/>
              </w:rPr>
              <w:t xml:space="preserve"> 3 years</w:t>
            </w:r>
          </w:p>
        </w:tc>
      </w:tr>
    </w:tbl>
    <w:p w14:paraId="71180957" w14:textId="77777777" w:rsidR="004C106A" w:rsidRDefault="004C106A" w:rsidP="005F4C76">
      <w:pPr>
        <w:pStyle w:val="MMultilevel"/>
        <w:numPr>
          <w:ilvl w:val="0"/>
          <w:numId w:val="0"/>
        </w:numPr>
        <w:rPr>
          <w:lang w:val="en-GB"/>
        </w:rPr>
      </w:pPr>
    </w:p>
    <w:p w14:paraId="62D49DD7" w14:textId="29949DA6" w:rsidR="00863541" w:rsidRDefault="004C0D35" w:rsidP="001514A4">
      <w:pPr>
        <w:pStyle w:val="MMultilevel"/>
        <w:numPr>
          <w:ilvl w:val="0"/>
          <w:numId w:val="0"/>
        </w:numPr>
        <w:rPr>
          <w:lang w:val="en-GB"/>
        </w:rPr>
      </w:pPr>
      <w:r>
        <w:rPr>
          <w:lang w:val="en-GB"/>
        </w:rPr>
        <w:t xml:space="preserve">The fulfilment of </w:t>
      </w:r>
      <w:r w:rsidR="00236707">
        <w:rPr>
          <w:lang w:val="en-GB"/>
        </w:rPr>
        <w:t xml:space="preserve">investment </w:t>
      </w:r>
      <w:r>
        <w:rPr>
          <w:lang w:val="en-GB"/>
        </w:rPr>
        <w:t xml:space="preserve">requirements </w:t>
      </w:r>
      <w:r w:rsidR="007C72E2">
        <w:rPr>
          <w:lang w:val="en-GB"/>
        </w:rPr>
        <w:t>is</w:t>
      </w:r>
      <w:r>
        <w:rPr>
          <w:lang w:val="en-GB"/>
        </w:rPr>
        <w:t xml:space="preserve"> checked </w:t>
      </w:r>
      <w:r w:rsidR="00150F9A">
        <w:rPr>
          <w:lang w:val="en-GB"/>
        </w:rPr>
        <w:t>both at the</w:t>
      </w:r>
      <w:r>
        <w:rPr>
          <w:lang w:val="en-GB"/>
        </w:rPr>
        <w:t xml:space="preserve"> application stage</w:t>
      </w:r>
      <w:r w:rsidR="00150F9A">
        <w:rPr>
          <w:lang w:val="en-GB"/>
        </w:rPr>
        <w:t xml:space="preserve"> and </w:t>
      </w:r>
      <w:r w:rsidR="00D423F3">
        <w:rPr>
          <w:lang w:val="en-GB"/>
        </w:rPr>
        <w:t>ex-</w:t>
      </w:r>
      <w:r>
        <w:rPr>
          <w:lang w:val="en-GB"/>
        </w:rPr>
        <w:t xml:space="preserve">post at the </w:t>
      </w:r>
      <w:r w:rsidRPr="00B91958">
        <w:rPr>
          <w:b/>
          <w:lang w:val="en-GB"/>
        </w:rPr>
        <w:t>annual registration</w:t>
      </w:r>
      <w:r>
        <w:rPr>
          <w:lang w:val="en-GB"/>
        </w:rPr>
        <w:t xml:space="preserve"> of the permit</w:t>
      </w:r>
      <w:r w:rsidR="00236707">
        <w:rPr>
          <w:lang w:val="en-GB"/>
        </w:rPr>
        <w:t xml:space="preserve"> (a</w:t>
      </w:r>
      <w:r w:rsidR="00236707" w:rsidRPr="00236707">
        <w:rPr>
          <w:lang w:val="en-GB"/>
        </w:rPr>
        <w:t>ny residence permit allowing a stay of more than one year should be annually registered</w:t>
      </w:r>
      <w:r w:rsidR="00236707">
        <w:rPr>
          <w:lang w:val="en-GB"/>
        </w:rPr>
        <w:t>; f</w:t>
      </w:r>
      <w:r w:rsidR="00236707" w:rsidRPr="00236707">
        <w:rPr>
          <w:lang w:val="en-GB"/>
        </w:rPr>
        <w:t>ailure to comply is a reason to annul the permit</w:t>
      </w:r>
      <w:r w:rsidR="00236707">
        <w:rPr>
          <w:lang w:val="en-GB"/>
        </w:rPr>
        <w:t>)</w:t>
      </w:r>
      <w:r w:rsidR="00D423F3">
        <w:rPr>
          <w:rFonts w:ascii="Century Gothic" w:hAnsi="Century Gothic"/>
          <w:sz w:val="18"/>
          <w:szCs w:val="18"/>
          <w:vertAlign w:val="superscript"/>
          <w:lang w:val="en-GB"/>
        </w:rPr>
        <w:t>.</w:t>
      </w:r>
      <w:r w:rsidR="00B91958" w:rsidRPr="00B91958">
        <w:rPr>
          <w:vertAlign w:val="superscript"/>
          <w:lang w:val="en-GB"/>
        </w:rPr>
        <w:footnoteReference w:id="6"/>
      </w:r>
      <w:r>
        <w:rPr>
          <w:lang w:val="en-GB"/>
        </w:rPr>
        <w:t xml:space="preserve"> </w:t>
      </w:r>
    </w:p>
    <w:p w14:paraId="5F3C2418" w14:textId="77777777" w:rsidR="00863541" w:rsidRDefault="00863541" w:rsidP="001514A4">
      <w:pPr>
        <w:pStyle w:val="MMultilevel"/>
        <w:numPr>
          <w:ilvl w:val="0"/>
          <w:numId w:val="0"/>
        </w:numPr>
        <w:rPr>
          <w:lang w:val="en-GB"/>
        </w:rPr>
      </w:pPr>
    </w:p>
    <w:p w14:paraId="1685C789" w14:textId="6F8C086B" w:rsidR="004C0D35" w:rsidRDefault="00236707" w:rsidP="001514A4">
      <w:pPr>
        <w:pStyle w:val="MMultilevel"/>
        <w:numPr>
          <w:ilvl w:val="0"/>
          <w:numId w:val="0"/>
        </w:numPr>
        <w:rPr>
          <w:lang w:val="en-GB"/>
        </w:rPr>
      </w:pPr>
      <w:r>
        <w:rPr>
          <w:lang w:val="en-GB"/>
        </w:rPr>
        <w:t xml:space="preserve">However, there are differences. </w:t>
      </w:r>
      <w:r w:rsidR="00863541">
        <w:rPr>
          <w:lang w:val="en-GB"/>
        </w:rPr>
        <w:t>I</w:t>
      </w:r>
      <w:r w:rsidR="00150F9A">
        <w:rPr>
          <w:lang w:val="en-GB"/>
        </w:rPr>
        <w:t>nvestment</w:t>
      </w:r>
      <w:r>
        <w:rPr>
          <w:lang w:val="en-GB"/>
        </w:rPr>
        <w:t>s</w:t>
      </w:r>
      <w:r w:rsidR="00150F9A">
        <w:rPr>
          <w:lang w:val="en-GB"/>
        </w:rPr>
        <w:t xml:space="preserve"> in start-ups</w:t>
      </w:r>
      <w:r>
        <w:rPr>
          <w:lang w:val="en-GB"/>
        </w:rPr>
        <w:t xml:space="preserve"> are</w:t>
      </w:r>
      <w:r w:rsidR="00150F9A">
        <w:rPr>
          <w:lang w:val="en-GB"/>
        </w:rPr>
        <w:t xml:space="preserve"> </w:t>
      </w:r>
      <w:r w:rsidR="00717D47">
        <w:rPr>
          <w:lang w:val="en-GB"/>
        </w:rPr>
        <w:t xml:space="preserve">only </w:t>
      </w:r>
      <w:r w:rsidR="00150F9A">
        <w:rPr>
          <w:lang w:val="en-GB"/>
        </w:rPr>
        <w:t>check</w:t>
      </w:r>
      <w:r w:rsidR="00355387">
        <w:rPr>
          <w:lang w:val="en-GB"/>
        </w:rPr>
        <w:t>ed</w:t>
      </w:r>
      <w:r w:rsidR="00150F9A">
        <w:rPr>
          <w:lang w:val="en-GB"/>
        </w:rPr>
        <w:t xml:space="preserve"> ex-post in line with the requirement to invest within</w:t>
      </w:r>
      <w:r w:rsidR="00D423F3">
        <w:rPr>
          <w:lang w:val="en-GB"/>
        </w:rPr>
        <w:t xml:space="preserve"> the</w:t>
      </w:r>
      <w:r w:rsidR="00150F9A">
        <w:rPr>
          <w:lang w:val="en-GB"/>
        </w:rPr>
        <w:t xml:space="preserve"> first </w:t>
      </w:r>
      <w:r w:rsidR="00D423F3">
        <w:rPr>
          <w:lang w:val="en-GB"/>
        </w:rPr>
        <w:t xml:space="preserve">6 </w:t>
      </w:r>
      <w:r w:rsidR="00150F9A">
        <w:rPr>
          <w:lang w:val="en-GB"/>
        </w:rPr>
        <w:t>and 18 months from receiving the permit.</w:t>
      </w:r>
      <w:r>
        <w:rPr>
          <w:lang w:val="en-GB"/>
        </w:rPr>
        <w:t xml:space="preserve"> Investments in State securities are </w:t>
      </w:r>
      <w:r w:rsidR="00717D47">
        <w:rPr>
          <w:lang w:val="en-GB"/>
        </w:rPr>
        <w:t xml:space="preserve">only </w:t>
      </w:r>
      <w:r>
        <w:rPr>
          <w:lang w:val="en-GB"/>
        </w:rPr>
        <w:t xml:space="preserve">checked </w:t>
      </w:r>
      <w:r w:rsidR="00717D47">
        <w:rPr>
          <w:lang w:val="en-GB"/>
        </w:rPr>
        <w:t>once – that is, when the investor collects his or her</w:t>
      </w:r>
      <w:r>
        <w:rPr>
          <w:lang w:val="en-GB"/>
        </w:rPr>
        <w:t xml:space="preserve"> permit</w:t>
      </w:r>
      <w:r w:rsidR="00355387">
        <w:rPr>
          <w:lang w:val="en-GB"/>
        </w:rPr>
        <w:t xml:space="preserve"> </w:t>
      </w:r>
      <w:r w:rsidR="00717D47">
        <w:rPr>
          <w:lang w:val="en-GB"/>
        </w:rPr>
        <w:t xml:space="preserve">as </w:t>
      </w:r>
      <w:r w:rsidR="00355387">
        <w:rPr>
          <w:lang w:val="en-GB"/>
        </w:rPr>
        <w:t>there is no possibility for early withdrawal.</w:t>
      </w:r>
    </w:p>
    <w:p w14:paraId="3CDAA620" w14:textId="77777777" w:rsidR="007C72E2" w:rsidRDefault="007C72E2" w:rsidP="001514A4">
      <w:pPr>
        <w:pStyle w:val="MMultilevel"/>
        <w:numPr>
          <w:ilvl w:val="0"/>
          <w:numId w:val="0"/>
        </w:numPr>
        <w:rPr>
          <w:lang w:val="en-GB"/>
        </w:rPr>
      </w:pPr>
    </w:p>
    <w:p w14:paraId="3A9E2254" w14:textId="4ED0E94C" w:rsidR="00A606F1" w:rsidRPr="00472CEE" w:rsidRDefault="00EA7D44" w:rsidP="001514A4">
      <w:pPr>
        <w:pStyle w:val="MMultilevel"/>
        <w:numPr>
          <w:ilvl w:val="0"/>
          <w:numId w:val="0"/>
        </w:numPr>
        <w:rPr>
          <w:highlight w:val="yellow"/>
          <w:lang w:val="en-GB"/>
        </w:rPr>
      </w:pPr>
      <w:r>
        <w:rPr>
          <w:lang w:val="en-GB"/>
        </w:rPr>
        <w:t xml:space="preserve">In the application </w:t>
      </w:r>
      <w:r w:rsidR="00150F9A">
        <w:rPr>
          <w:lang w:val="en-GB"/>
        </w:rPr>
        <w:t>stage</w:t>
      </w:r>
      <w:r w:rsidR="00D423F3">
        <w:rPr>
          <w:lang w:val="en-GB"/>
        </w:rPr>
        <w:t>,</w:t>
      </w:r>
      <w:r w:rsidR="00150F9A">
        <w:rPr>
          <w:lang w:val="en-GB"/>
        </w:rPr>
        <w:t xml:space="preserve"> </w:t>
      </w:r>
      <w:r>
        <w:rPr>
          <w:lang w:val="en-GB"/>
        </w:rPr>
        <w:t xml:space="preserve">the </w:t>
      </w:r>
      <w:r w:rsidR="00472CEE">
        <w:rPr>
          <w:lang w:val="en-GB"/>
        </w:rPr>
        <w:t>OCMA</w:t>
      </w:r>
      <w:r>
        <w:rPr>
          <w:lang w:val="en-GB"/>
        </w:rPr>
        <w:t xml:space="preserve"> relies on </w:t>
      </w:r>
      <w:r w:rsidR="009061C9">
        <w:rPr>
          <w:lang w:val="en-GB"/>
        </w:rPr>
        <w:t>information provided</w:t>
      </w:r>
      <w:r>
        <w:rPr>
          <w:lang w:val="en-GB"/>
        </w:rPr>
        <w:t xml:space="preserve"> by the applicant</w:t>
      </w:r>
      <w:r w:rsidR="00355387">
        <w:rPr>
          <w:lang w:val="en-GB"/>
        </w:rPr>
        <w:t xml:space="preserve"> </w:t>
      </w:r>
      <w:r w:rsidR="00DF7F7A">
        <w:rPr>
          <w:lang w:val="en-GB"/>
        </w:rPr>
        <w:t xml:space="preserve">and </w:t>
      </w:r>
      <w:r>
        <w:rPr>
          <w:lang w:val="en-GB"/>
        </w:rPr>
        <w:t xml:space="preserve">other </w:t>
      </w:r>
      <w:r w:rsidRPr="00472CEE">
        <w:rPr>
          <w:lang w:val="en-GB"/>
        </w:rPr>
        <w:t xml:space="preserve">State authorities. </w:t>
      </w:r>
      <w:r w:rsidR="00355387" w:rsidRPr="00355387">
        <w:rPr>
          <w:lang w:val="en-GB"/>
        </w:rPr>
        <w:t xml:space="preserve">In 2015, for instance, </w:t>
      </w:r>
      <w:r w:rsidR="009163FD">
        <w:rPr>
          <w:lang w:val="en-GB"/>
        </w:rPr>
        <w:t xml:space="preserve">20 per cent of </w:t>
      </w:r>
      <w:r w:rsidR="00DF7F7A">
        <w:rPr>
          <w:lang w:val="en-GB"/>
        </w:rPr>
        <w:t xml:space="preserve">all </w:t>
      </w:r>
      <w:r w:rsidR="009163FD">
        <w:rPr>
          <w:lang w:val="en-GB"/>
        </w:rPr>
        <w:t>refusals</w:t>
      </w:r>
      <w:r w:rsidR="00355387" w:rsidRPr="00355387">
        <w:rPr>
          <w:lang w:val="en-GB"/>
        </w:rPr>
        <w:t xml:space="preserve"> were based on security considerations.</w:t>
      </w:r>
      <w:r w:rsidR="00F35CD7">
        <w:rPr>
          <w:lang w:val="en-GB"/>
        </w:rPr>
        <w:t xml:space="preserve"> Refusals to grant residence permits are </w:t>
      </w:r>
      <w:r w:rsidR="00F35CD7" w:rsidRPr="00DF7F7A">
        <w:rPr>
          <w:b/>
          <w:lang w:val="en-GB"/>
        </w:rPr>
        <w:t>eligible for appeal</w:t>
      </w:r>
      <w:r w:rsidR="00F35CD7">
        <w:rPr>
          <w:lang w:val="en-GB"/>
        </w:rPr>
        <w:t>.</w:t>
      </w:r>
    </w:p>
    <w:p w14:paraId="21C7F646" w14:textId="77777777" w:rsidR="007E562E" w:rsidRDefault="007E562E" w:rsidP="001514A4">
      <w:pPr>
        <w:pStyle w:val="MMultilevel"/>
        <w:numPr>
          <w:ilvl w:val="0"/>
          <w:numId w:val="0"/>
        </w:numPr>
        <w:rPr>
          <w:lang w:val="en-GB"/>
        </w:rPr>
      </w:pPr>
    </w:p>
    <w:p w14:paraId="28845FA3" w14:textId="55FCD77E" w:rsidR="00144994" w:rsidRPr="00144994" w:rsidRDefault="00D423F3" w:rsidP="001514A4">
      <w:pPr>
        <w:pStyle w:val="MMultilevel"/>
        <w:numPr>
          <w:ilvl w:val="0"/>
          <w:numId w:val="0"/>
        </w:numPr>
        <w:rPr>
          <w:lang w:val="en-GB"/>
        </w:rPr>
      </w:pPr>
      <w:r>
        <w:rPr>
          <w:lang w:val="en-GB"/>
        </w:rPr>
        <w:t>Investors</w:t>
      </w:r>
      <w:r w:rsidR="00472CEE" w:rsidRPr="00144994">
        <w:rPr>
          <w:lang w:val="en-GB"/>
        </w:rPr>
        <w:t xml:space="preserve"> must submit </w:t>
      </w:r>
      <w:r>
        <w:rPr>
          <w:lang w:val="en-GB"/>
        </w:rPr>
        <w:t xml:space="preserve">the following </w:t>
      </w:r>
      <w:r w:rsidR="00472CEE" w:rsidRPr="00144994">
        <w:rPr>
          <w:lang w:val="en-GB"/>
        </w:rPr>
        <w:t>evidence</w:t>
      </w:r>
      <w:r>
        <w:rPr>
          <w:lang w:val="en-GB"/>
        </w:rPr>
        <w:t xml:space="preserve"> to the OCMA</w:t>
      </w:r>
      <w:r w:rsidR="00686520" w:rsidRPr="00144994">
        <w:rPr>
          <w:lang w:val="en-GB"/>
        </w:rPr>
        <w:t xml:space="preserve"> </w:t>
      </w:r>
      <w:r w:rsidR="00546B1A">
        <w:rPr>
          <w:lang w:val="en-GB"/>
        </w:rPr>
        <w:t>for</w:t>
      </w:r>
      <w:r w:rsidR="00686520" w:rsidRPr="00144994">
        <w:rPr>
          <w:lang w:val="en-GB"/>
        </w:rPr>
        <w:t xml:space="preserve"> fulfilment of the investment criterion</w:t>
      </w:r>
      <w:r w:rsidR="00472CEE" w:rsidRPr="00144994">
        <w:rPr>
          <w:lang w:val="en-GB"/>
        </w:rPr>
        <w:t xml:space="preserve">: </w:t>
      </w:r>
    </w:p>
    <w:p w14:paraId="3D5B7FA1" w14:textId="718DBAB8" w:rsidR="00B91958" w:rsidRPr="00B91958" w:rsidRDefault="00B91958" w:rsidP="00B91958">
      <w:pPr>
        <w:pStyle w:val="MBT"/>
        <w:numPr>
          <w:ilvl w:val="0"/>
          <w:numId w:val="26"/>
        </w:numPr>
      </w:pPr>
      <w:r w:rsidRPr="00B91958">
        <w:t xml:space="preserve">Investors in </w:t>
      </w:r>
      <w:r w:rsidRPr="00B91958">
        <w:rPr>
          <w:b/>
        </w:rPr>
        <w:t>credit liabilities</w:t>
      </w:r>
      <w:r w:rsidRPr="00B91958">
        <w:t xml:space="preserve"> must submit a document issued by the Latvian financial institution confirming the foreigner’s investment in the institution’s subordinated liabilities</w:t>
      </w:r>
      <w:r w:rsidR="00D423F3">
        <w:t>;</w:t>
      </w:r>
      <w:r w:rsidRPr="00B91958">
        <w:rPr>
          <w:vertAlign w:val="superscript"/>
        </w:rPr>
        <w:footnoteReference w:id="7"/>
      </w:r>
    </w:p>
    <w:p w14:paraId="7A3C263E" w14:textId="2F29E5D7" w:rsidR="00B91958" w:rsidRPr="00B91958" w:rsidRDefault="00B91958" w:rsidP="00B91958">
      <w:pPr>
        <w:pStyle w:val="MBT"/>
        <w:numPr>
          <w:ilvl w:val="0"/>
          <w:numId w:val="26"/>
        </w:numPr>
      </w:pPr>
      <w:r w:rsidRPr="00B91958">
        <w:t xml:space="preserve">Investors in </w:t>
      </w:r>
      <w:r w:rsidRPr="00B91958">
        <w:rPr>
          <w:b/>
        </w:rPr>
        <w:t>real estate</w:t>
      </w:r>
      <w:r w:rsidRPr="00B91958">
        <w:t xml:space="preserve"> must submit a document </w:t>
      </w:r>
      <w:r w:rsidR="00D423F3">
        <w:t>attesting</w:t>
      </w:r>
      <w:r w:rsidRPr="00B91958">
        <w:t xml:space="preserve"> the non-cash payment for the real estate; a document attesting the absence of property tax debt, the opinion of a certified property appraiser about the market value of the property (if the </w:t>
      </w:r>
      <w:r w:rsidR="00D423F3">
        <w:t xml:space="preserve">property’s </w:t>
      </w:r>
      <w:r w:rsidRPr="00B91958">
        <w:t>value is below its cadastral value)</w:t>
      </w:r>
      <w:r w:rsidR="00D423F3">
        <w:t>;</w:t>
      </w:r>
      <w:r w:rsidRPr="00B91958">
        <w:rPr>
          <w:vertAlign w:val="superscript"/>
        </w:rPr>
        <w:footnoteReference w:id="8"/>
      </w:r>
    </w:p>
    <w:p w14:paraId="709401CC" w14:textId="43F9DC34" w:rsidR="00B91958" w:rsidRPr="00B91958" w:rsidRDefault="00B91958" w:rsidP="00B91958">
      <w:pPr>
        <w:pStyle w:val="MBT"/>
        <w:numPr>
          <w:ilvl w:val="0"/>
          <w:numId w:val="26"/>
        </w:numPr>
      </w:pPr>
      <w:r w:rsidRPr="00B91958">
        <w:t xml:space="preserve">Investors in </w:t>
      </w:r>
      <w:r w:rsidRPr="00B91958">
        <w:rPr>
          <w:b/>
        </w:rPr>
        <w:t>State securities</w:t>
      </w:r>
      <w:r w:rsidRPr="00B91958">
        <w:t xml:space="preserve"> must submit a signed request submitted to the depository to acquire securities</w:t>
      </w:r>
      <w:r w:rsidR="00D423F3">
        <w:t>;</w:t>
      </w:r>
      <w:r w:rsidRPr="00B91958">
        <w:rPr>
          <w:vertAlign w:val="superscript"/>
        </w:rPr>
        <w:footnoteReference w:id="9"/>
      </w:r>
    </w:p>
    <w:p w14:paraId="2AA1D382" w14:textId="7915D0E3" w:rsidR="00144994" w:rsidRPr="00144994" w:rsidRDefault="00B91958" w:rsidP="00B91958">
      <w:pPr>
        <w:pStyle w:val="MBT"/>
        <w:numPr>
          <w:ilvl w:val="0"/>
          <w:numId w:val="26"/>
        </w:numPr>
        <w:rPr>
          <w:lang w:val="en-GB"/>
        </w:rPr>
      </w:pPr>
      <w:r w:rsidRPr="00B91958">
        <w:rPr>
          <w:lang w:val="en-GB"/>
        </w:rPr>
        <w:t xml:space="preserve">Investors in </w:t>
      </w:r>
      <w:r w:rsidRPr="00B91958">
        <w:rPr>
          <w:b/>
          <w:lang w:val="en-GB"/>
        </w:rPr>
        <w:t>start-ups</w:t>
      </w:r>
      <w:r w:rsidRPr="00B91958">
        <w:rPr>
          <w:lang w:val="en-GB"/>
        </w:rPr>
        <w:t xml:space="preserve"> must </w:t>
      </w:r>
      <w:proofErr w:type="gramStart"/>
      <w:r w:rsidRPr="00B91958">
        <w:rPr>
          <w:lang w:val="en-GB"/>
        </w:rPr>
        <w:t>submit an application</w:t>
      </w:r>
      <w:proofErr w:type="gramEnd"/>
      <w:r w:rsidRPr="00B91958">
        <w:rPr>
          <w:lang w:val="en-GB"/>
        </w:rPr>
        <w:t xml:space="preserve"> describing the products to be created or developed, and the information on the planned business activities in the next three years.</w:t>
      </w:r>
    </w:p>
    <w:p w14:paraId="3948848B" w14:textId="3407132F" w:rsidR="003217DB" w:rsidRPr="00144994" w:rsidRDefault="00686520" w:rsidP="00B91958">
      <w:pPr>
        <w:pStyle w:val="MBT"/>
        <w:numPr>
          <w:ilvl w:val="0"/>
          <w:numId w:val="26"/>
        </w:numPr>
        <w:rPr>
          <w:lang w:val="en-GB"/>
        </w:rPr>
      </w:pPr>
      <w:r w:rsidRPr="00144994">
        <w:rPr>
          <w:lang w:val="en-GB"/>
        </w:rPr>
        <w:t>No</w:t>
      </w:r>
      <w:r w:rsidR="00472CEE" w:rsidRPr="00144994">
        <w:rPr>
          <w:lang w:val="en-GB"/>
        </w:rPr>
        <w:t xml:space="preserve"> </w:t>
      </w:r>
      <w:r w:rsidRPr="00144994">
        <w:rPr>
          <w:lang w:val="en-GB"/>
        </w:rPr>
        <w:t>specific</w:t>
      </w:r>
      <w:r w:rsidR="00472CEE" w:rsidRPr="00144994">
        <w:rPr>
          <w:lang w:val="en-GB"/>
        </w:rPr>
        <w:t xml:space="preserve"> documents </w:t>
      </w:r>
      <w:r w:rsidRPr="00144994">
        <w:rPr>
          <w:lang w:val="en-GB"/>
        </w:rPr>
        <w:t xml:space="preserve">are </w:t>
      </w:r>
      <w:r w:rsidR="00472CEE" w:rsidRPr="00144994">
        <w:rPr>
          <w:lang w:val="en-GB"/>
        </w:rPr>
        <w:t xml:space="preserve">required </w:t>
      </w:r>
      <w:r w:rsidRPr="00144994">
        <w:rPr>
          <w:lang w:val="en-GB"/>
        </w:rPr>
        <w:t>from</w:t>
      </w:r>
      <w:r w:rsidR="00472CEE" w:rsidRPr="00144994">
        <w:rPr>
          <w:lang w:val="en-GB"/>
        </w:rPr>
        <w:t xml:space="preserve"> </w:t>
      </w:r>
      <w:r w:rsidR="00472CEE" w:rsidRPr="00144994">
        <w:rPr>
          <w:b/>
          <w:lang w:val="en-GB"/>
        </w:rPr>
        <w:t>business investors</w:t>
      </w:r>
      <w:r w:rsidR="00472CEE" w:rsidRPr="00144994">
        <w:rPr>
          <w:lang w:val="en-GB"/>
        </w:rPr>
        <w:t xml:space="preserve"> as the increase of equity capital or the establishment of a new company is registered in a </w:t>
      </w:r>
      <w:r w:rsidR="00472CEE" w:rsidRPr="00C97A15">
        <w:rPr>
          <w:b/>
          <w:lang w:val="en-GB"/>
        </w:rPr>
        <w:t>State Enterprise Register</w:t>
      </w:r>
      <w:r w:rsidR="00472CEE" w:rsidRPr="00144994">
        <w:rPr>
          <w:lang w:val="en-GB"/>
        </w:rPr>
        <w:t xml:space="preserve">, accessible </w:t>
      </w:r>
      <w:r w:rsidR="00D423F3">
        <w:rPr>
          <w:lang w:val="en-GB"/>
        </w:rPr>
        <w:t>by</w:t>
      </w:r>
      <w:r w:rsidR="00472CEE" w:rsidRPr="00144994">
        <w:rPr>
          <w:lang w:val="en-GB"/>
        </w:rPr>
        <w:t xml:space="preserve"> the OCMA.</w:t>
      </w:r>
    </w:p>
    <w:p w14:paraId="6C310A80" w14:textId="77777777" w:rsidR="00FD18EC" w:rsidRPr="00144994" w:rsidRDefault="00FD18EC" w:rsidP="001514A4">
      <w:pPr>
        <w:pStyle w:val="MBT"/>
        <w:rPr>
          <w:i/>
          <w:color w:val="2E74B5" w:themeColor="accent5" w:themeShade="BF"/>
          <w:lang w:val="en-GB"/>
        </w:rPr>
      </w:pPr>
    </w:p>
    <w:p w14:paraId="53741A08" w14:textId="21FCF7DB" w:rsidR="00EA7D44" w:rsidRPr="00144994" w:rsidRDefault="00EA7D44" w:rsidP="001514A4">
      <w:pPr>
        <w:pStyle w:val="MBT"/>
        <w:rPr>
          <w:lang w:val="en-GB"/>
        </w:rPr>
      </w:pPr>
      <w:r w:rsidRPr="00144994">
        <w:rPr>
          <w:lang w:val="en-GB"/>
        </w:rPr>
        <w:t>When</w:t>
      </w:r>
      <w:r w:rsidRPr="00144994">
        <w:rPr>
          <w:b/>
          <w:lang w:val="en-GB"/>
        </w:rPr>
        <w:t xml:space="preserve"> receiving the residence permit</w:t>
      </w:r>
      <w:r w:rsidRPr="00144994">
        <w:rPr>
          <w:lang w:val="en-GB"/>
        </w:rPr>
        <w:t xml:space="preserve"> all investors must prove that they have paid the </w:t>
      </w:r>
      <w:r w:rsidRPr="00144994">
        <w:rPr>
          <w:b/>
          <w:lang w:val="en-GB"/>
        </w:rPr>
        <w:t>required charges</w:t>
      </w:r>
      <w:r w:rsidRPr="00144994">
        <w:rPr>
          <w:lang w:val="en-GB"/>
        </w:rPr>
        <w:t xml:space="preserve"> (one-time payments</w:t>
      </w:r>
      <w:r w:rsidR="007C72E2">
        <w:rPr>
          <w:lang w:val="en-GB"/>
        </w:rPr>
        <w:t xml:space="preserve"> to the State budget</w:t>
      </w:r>
      <w:r w:rsidRPr="00144994">
        <w:rPr>
          <w:lang w:val="en-GB"/>
        </w:rPr>
        <w:t xml:space="preserve"> ranging from EUR 10 000 to 38 000</w:t>
      </w:r>
      <w:r w:rsidR="00A90A49">
        <w:rPr>
          <w:lang w:val="en-GB"/>
        </w:rPr>
        <w:t xml:space="preserve"> </w:t>
      </w:r>
      <w:r w:rsidR="004E0809">
        <w:rPr>
          <w:lang w:val="en-GB"/>
        </w:rPr>
        <w:t xml:space="preserve">depending on the </w:t>
      </w:r>
      <w:r w:rsidR="004E0809">
        <w:rPr>
          <w:lang w:val="en-GB"/>
        </w:rPr>
        <w:lastRenderedPageBreak/>
        <w:t>nature of the investment made</w:t>
      </w:r>
      <w:r w:rsidRPr="00144994">
        <w:rPr>
          <w:lang w:val="en-GB"/>
        </w:rPr>
        <w:t>)</w:t>
      </w:r>
      <w:r w:rsidR="00467FE2">
        <w:rPr>
          <w:lang w:val="en-GB"/>
        </w:rPr>
        <w:t>.</w:t>
      </w:r>
      <w:r w:rsidR="00B91958">
        <w:rPr>
          <w:rStyle w:val="FootnoteReference"/>
          <w:lang w:val="en-GB"/>
        </w:rPr>
        <w:footnoteReference w:id="10"/>
      </w:r>
      <w:r w:rsidRPr="00144994">
        <w:rPr>
          <w:lang w:val="en-GB"/>
        </w:rPr>
        <w:t xml:space="preserve"> </w:t>
      </w:r>
    </w:p>
    <w:p w14:paraId="0451E237" w14:textId="24390292" w:rsidR="009E7A78" w:rsidRDefault="009E7A78" w:rsidP="001514A4">
      <w:pPr>
        <w:pStyle w:val="MBT"/>
        <w:rPr>
          <w:lang w:val="en-GB"/>
        </w:rPr>
      </w:pPr>
    </w:p>
    <w:p w14:paraId="5F07CA27" w14:textId="51E7B2DC" w:rsidR="007A084E" w:rsidRDefault="007C72E2" w:rsidP="00CD0615">
      <w:pPr>
        <w:pStyle w:val="MMultilevel"/>
        <w:numPr>
          <w:ilvl w:val="0"/>
          <w:numId w:val="0"/>
        </w:numPr>
        <w:rPr>
          <w:lang w:val="en-GB"/>
        </w:rPr>
      </w:pPr>
      <w:r>
        <w:rPr>
          <w:lang w:val="en-GB"/>
        </w:rPr>
        <w:t xml:space="preserve">Apart from the investment requirements, </w:t>
      </w:r>
      <w:r w:rsidRPr="001514A4">
        <w:rPr>
          <w:lang w:val="en-GB"/>
        </w:rPr>
        <w:t xml:space="preserve">a foreigner must have a valid travel document, visa </w:t>
      </w:r>
      <w:r w:rsidR="00AE574E" w:rsidRPr="00AE574E">
        <w:rPr>
          <w:lang w:val="en-GB"/>
        </w:rPr>
        <w:t>(if required</w:t>
      </w:r>
      <w:r w:rsidR="00AE574E" w:rsidRPr="00AE574E">
        <w:rPr>
          <w:vertAlign w:val="superscript"/>
          <w:lang w:val="en-GB"/>
        </w:rPr>
        <w:footnoteReference w:id="11"/>
      </w:r>
      <w:r w:rsidR="00AE574E" w:rsidRPr="00AE574E">
        <w:rPr>
          <w:lang w:val="en-GB"/>
        </w:rPr>
        <w:t>)</w:t>
      </w:r>
      <w:r w:rsidRPr="001514A4">
        <w:rPr>
          <w:lang w:val="en-GB"/>
        </w:rPr>
        <w:t xml:space="preserve">, health insurance, sufficient means of subsistence and an address for his or her stay in Latvia (however, the </w:t>
      </w:r>
      <w:r w:rsidRPr="001514A4">
        <w:rPr>
          <w:b/>
          <w:lang w:val="en-GB"/>
        </w:rPr>
        <w:t>physical presence</w:t>
      </w:r>
      <w:r w:rsidRPr="001514A4">
        <w:rPr>
          <w:lang w:val="en-GB"/>
        </w:rPr>
        <w:t xml:space="preserve"> of the applicant is not required)</w:t>
      </w:r>
      <w:r w:rsidR="00467FE2">
        <w:rPr>
          <w:lang w:val="en-GB"/>
        </w:rPr>
        <w:t>.</w:t>
      </w:r>
      <w:r w:rsidR="00B91958" w:rsidRPr="00B91958">
        <w:rPr>
          <w:vertAlign w:val="superscript"/>
          <w:lang w:val="en-GB"/>
        </w:rPr>
        <w:footnoteReference w:id="12"/>
      </w:r>
      <w:r w:rsidRPr="001514A4">
        <w:rPr>
          <w:lang w:val="en-GB"/>
        </w:rPr>
        <w:t xml:space="preserve"> </w:t>
      </w:r>
    </w:p>
    <w:p w14:paraId="4C049111" w14:textId="0CFEBFA1" w:rsidR="007A084E" w:rsidRDefault="007A084E" w:rsidP="00CD0615">
      <w:pPr>
        <w:pStyle w:val="MMultilevel"/>
        <w:numPr>
          <w:ilvl w:val="0"/>
          <w:numId w:val="0"/>
        </w:numPr>
        <w:rPr>
          <w:lang w:val="en-GB"/>
        </w:rPr>
      </w:pPr>
    </w:p>
    <w:p w14:paraId="240A305F" w14:textId="0FCE8D81" w:rsidR="00197B64" w:rsidRPr="004F43EF" w:rsidRDefault="00197B64" w:rsidP="00CD0615">
      <w:pPr>
        <w:pStyle w:val="MMultilevel"/>
        <w:numPr>
          <w:ilvl w:val="0"/>
          <w:numId w:val="0"/>
        </w:numPr>
        <w:rPr>
          <w:i/>
          <w:u w:val="single"/>
          <w:lang w:val="en-GB"/>
        </w:rPr>
      </w:pPr>
      <w:r>
        <w:rPr>
          <w:i/>
          <w:u w:val="single"/>
          <w:lang w:val="en-GB"/>
        </w:rPr>
        <w:t>Procedure</w:t>
      </w:r>
    </w:p>
    <w:p w14:paraId="40EC4119" w14:textId="0B3764A6" w:rsidR="00076591" w:rsidRPr="00076591" w:rsidRDefault="00076591" w:rsidP="00076591">
      <w:pPr>
        <w:pStyle w:val="MBT"/>
      </w:pPr>
      <w:r w:rsidRPr="00076591">
        <w:rPr>
          <w:lang w:val="en-GB"/>
        </w:rPr>
        <w:t xml:space="preserve">Cabinet </w:t>
      </w:r>
      <w:r w:rsidRPr="00076591">
        <w:rPr>
          <w:b/>
          <w:lang w:val="en-GB"/>
        </w:rPr>
        <w:t>Regulation No 564</w:t>
      </w:r>
      <w:r w:rsidRPr="00076591">
        <w:rPr>
          <w:vertAlign w:val="superscript"/>
          <w:lang w:val="en-GB"/>
        </w:rPr>
        <w:footnoteReference w:id="13"/>
      </w:r>
      <w:r w:rsidRPr="00076591">
        <w:rPr>
          <w:lang w:val="en-GB"/>
        </w:rPr>
        <w:t xml:space="preserve"> sets out detailed application procedure. There is no specific procedure for foreign investors – all applicants (including thus investors and their family members) must follow the same standard procedure. </w:t>
      </w:r>
      <w:r w:rsidRPr="00076591">
        <w:t xml:space="preserve">Only in relation to the required investment do the required specific </w:t>
      </w:r>
      <w:r w:rsidRPr="00076591">
        <w:rPr>
          <w:b/>
        </w:rPr>
        <w:t xml:space="preserve">supporting documents </w:t>
      </w:r>
      <w:r w:rsidRPr="00076591">
        <w:t>vary depending on the type of investment</w:t>
      </w:r>
      <w:r>
        <w:t xml:space="preserve"> (see above ‘</w:t>
      </w:r>
      <w:r>
        <w:rPr>
          <w:i/>
        </w:rPr>
        <w:t>Conditions</w:t>
      </w:r>
      <w:r>
        <w:t>’)</w:t>
      </w:r>
      <w:r w:rsidRPr="00076591">
        <w:t xml:space="preserve">. </w:t>
      </w:r>
    </w:p>
    <w:p w14:paraId="4B7010E3" w14:textId="77777777" w:rsidR="00076591" w:rsidRDefault="00076591" w:rsidP="00076591">
      <w:pPr>
        <w:pStyle w:val="MBT"/>
      </w:pPr>
    </w:p>
    <w:p w14:paraId="6250E55E" w14:textId="606A002E" w:rsidR="00076591" w:rsidRPr="00076591" w:rsidRDefault="00076591" w:rsidP="00076591">
      <w:pPr>
        <w:pStyle w:val="MBT"/>
      </w:pPr>
      <w:r>
        <w:t xml:space="preserve">The procedure starts with filing the </w:t>
      </w:r>
      <w:r>
        <w:rPr>
          <w:b/>
        </w:rPr>
        <w:t>application</w:t>
      </w:r>
      <w:r w:rsidRPr="00076591">
        <w:t xml:space="preserve"> for a residence permit</w:t>
      </w:r>
      <w:r>
        <w:t xml:space="preserve"> (in the </w:t>
      </w:r>
      <w:proofErr w:type="spellStart"/>
      <w:r>
        <w:t>standardised</w:t>
      </w:r>
      <w:proofErr w:type="spellEnd"/>
      <w:r>
        <w:t xml:space="preserve"> form,</w:t>
      </w:r>
      <w:r w:rsidRPr="00076591">
        <w:t xml:space="preserve"> </w:t>
      </w:r>
      <w:r>
        <w:t xml:space="preserve">available online) </w:t>
      </w:r>
      <w:r w:rsidRPr="00076591">
        <w:rPr>
          <w:b/>
        </w:rPr>
        <w:t xml:space="preserve">in person </w:t>
      </w:r>
      <w:r w:rsidRPr="00076591">
        <w:t>to the OCMA</w:t>
      </w:r>
      <w:r>
        <w:t xml:space="preserve"> (or the Latvian diplomatic mission abroad, who will forward it to the OCMA), accompanied by </w:t>
      </w:r>
      <w:r w:rsidRPr="00076591">
        <w:t xml:space="preserve">the following </w:t>
      </w:r>
      <w:r w:rsidRPr="00076591">
        <w:rPr>
          <w:b/>
        </w:rPr>
        <w:t>documents</w:t>
      </w:r>
      <w:r w:rsidRPr="004F43EF">
        <w:t>:</w:t>
      </w:r>
      <w:r w:rsidRPr="00076591">
        <w:rPr>
          <w:vertAlign w:val="superscript"/>
        </w:rPr>
        <w:footnoteReference w:id="14"/>
      </w:r>
      <w:r>
        <w:t xml:space="preserve"> </w:t>
      </w:r>
      <w:proofErr w:type="spellStart"/>
      <w:r w:rsidRPr="00076591">
        <w:rPr>
          <w:lang w:val="fr-FR"/>
        </w:rPr>
        <w:t>valid</w:t>
      </w:r>
      <w:proofErr w:type="spellEnd"/>
      <w:r w:rsidRPr="00076591">
        <w:rPr>
          <w:lang w:val="fr-FR"/>
        </w:rPr>
        <w:t xml:space="preserve"> </w:t>
      </w:r>
      <w:proofErr w:type="spellStart"/>
      <w:r w:rsidRPr="00076591">
        <w:rPr>
          <w:lang w:val="fr-FR"/>
        </w:rPr>
        <w:t>travel</w:t>
      </w:r>
      <w:proofErr w:type="spellEnd"/>
      <w:r w:rsidRPr="00076591">
        <w:rPr>
          <w:lang w:val="fr-FR"/>
        </w:rPr>
        <w:t xml:space="preserve"> document (e.g. </w:t>
      </w:r>
      <w:proofErr w:type="spellStart"/>
      <w:r w:rsidRPr="00076591">
        <w:rPr>
          <w:lang w:val="fr-FR"/>
        </w:rPr>
        <w:t>passport</w:t>
      </w:r>
      <w:proofErr w:type="spellEnd"/>
      <w:r w:rsidRPr="00076591">
        <w:rPr>
          <w:lang w:val="fr-FR"/>
        </w:rPr>
        <w:t xml:space="preserve">); </w:t>
      </w:r>
      <w:r>
        <w:rPr>
          <w:lang w:val="fr-FR"/>
        </w:rPr>
        <w:t>p</w:t>
      </w:r>
      <w:r w:rsidRPr="00076591">
        <w:t xml:space="preserve">roof of subsistence/ sufficient funds (for example, a bank statement); document proving that the applicant has a place to stay in Latvia (such as rent agreement); </w:t>
      </w:r>
      <w:r>
        <w:t>c</w:t>
      </w:r>
      <w:r w:rsidRPr="00076591">
        <w:t xml:space="preserve">ertificate on the absence of criminal record (for applicants over 14 years of age; applies only to those third-country nationals who need visa to enter Latvia); </w:t>
      </w:r>
      <w:r>
        <w:t xml:space="preserve">and </w:t>
      </w:r>
      <w:r w:rsidRPr="00076591">
        <w:t xml:space="preserve">document certifying the payment of the </w:t>
      </w:r>
      <w:r w:rsidRPr="004F43EF">
        <w:rPr>
          <w:b/>
        </w:rPr>
        <w:t>State fee</w:t>
      </w:r>
      <w:r w:rsidRPr="00076591">
        <w:t xml:space="preserve"> (document review within 30 days – EUR 150; 10 days – EUR 300; 5 days – EUR 450).</w:t>
      </w:r>
      <w:r>
        <w:t xml:space="preserve"> Apart of these, the necessary documents proving the investment, including the one-time payments to the State budget, must be provided too (see above ‘</w:t>
      </w:r>
      <w:r>
        <w:rPr>
          <w:i/>
        </w:rPr>
        <w:t>Conditions</w:t>
      </w:r>
      <w:r>
        <w:t xml:space="preserve">’). </w:t>
      </w:r>
    </w:p>
    <w:p w14:paraId="7A9B6CF7" w14:textId="13399C4C" w:rsidR="00197B64" w:rsidRDefault="00197B64" w:rsidP="00197B64">
      <w:pPr>
        <w:pStyle w:val="MBT"/>
        <w:rPr>
          <w:lang w:val="en-GB"/>
        </w:rPr>
      </w:pPr>
    </w:p>
    <w:p w14:paraId="764A7438" w14:textId="47BD8E9C" w:rsidR="00076591" w:rsidRDefault="00076591" w:rsidP="00076591">
      <w:pPr>
        <w:pStyle w:val="MBT"/>
        <w:rPr>
          <w:lang w:val="en-GB"/>
        </w:rPr>
      </w:pPr>
      <w:r w:rsidRPr="00076591">
        <w:rPr>
          <w:lang w:val="en-GB"/>
        </w:rPr>
        <w:t xml:space="preserve">The OCMA has 30 days since the date of the submission of the application to issue a </w:t>
      </w:r>
      <w:r w:rsidRPr="00E40FE3">
        <w:rPr>
          <w:b/>
          <w:lang w:val="en-GB"/>
        </w:rPr>
        <w:t>decision</w:t>
      </w:r>
      <w:r>
        <w:rPr>
          <w:lang w:val="en-GB"/>
        </w:rPr>
        <w:t>.</w:t>
      </w:r>
      <w:r w:rsidRPr="00076591">
        <w:rPr>
          <w:vertAlign w:val="superscript"/>
          <w:lang w:val="en-GB"/>
        </w:rPr>
        <w:footnoteReference w:id="15"/>
      </w:r>
      <w:r w:rsidRPr="00076591">
        <w:rPr>
          <w:lang w:val="en-GB"/>
        </w:rPr>
        <w:t xml:space="preserve"> If the decision on issuing residence permit is positive</w:t>
      </w:r>
      <w:r>
        <w:rPr>
          <w:lang w:val="en-GB"/>
        </w:rPr>
        <w:t>,</w:t>
      </w:r>
      <w:r w:rsidRPr="00076591">
        <w:rPr>
          <w:vertAlign w:val="superscript"/>
          <w:lang w:val="en-GB"/>
        </w:rPr>
        <w:footnoteReference w:id="16"/>
      </w:r>
      <w:r w:rsidR="00BD2601">
        <w:rPr>
          <w:lang w:val="en-GB"/>
        </w:rPr>
        <w:t xml:space="preserve">this will be issued for a duration of up to </w:t>
      </w:r>
      <w:r w:rsidR="00BD2601" w:rsidRPr="004F43EF">
        <w:rPr>
          <w:b/>
          <w:lang w:val="en-GB"/>
        </w:rPr>
        <w:t>five years</w:t>
      </w:r>
      <w:r w:rsidR="00BD2601">
        <w:rPr>
          <w:lang w:val="en-GB"/>
        </w:rPr>
        <w:t xml:space="preserve"> (three years in the case of start-ups). </w:t>
      </w:r>
      <w:r w:rsidRPr="00076591">
        <w:rPr>
          <w:lang w:val="en-GB"/>
        </w:rPr>
        <w:t>The applicant can receive the permit in person at the OCMA within three months after the positive decision</w:t>
      </w:r>
      <w:r>
        <w:rPr>
          <w:lang w:val="en-GB"/>
        </w:rPr>
        <w:t>.</w:t>
      </w:r>
      <w:r w:rsidRPr="00076591">
        <w:rPr>
          <w:vertAlign w:val="superscript"/>
          <w:lang w:val="en-GB"/>
        </w:rPr>
        <w:footnoteReference w:id="17"/>
      </w:r>
      <w:r w:rsidRPr="00076591">
        <w:rPr>
          <w:lang w:val="en-GB"/>
        </w:rPr>
        <w:t xml:space="preserve"> This deadline, at the discretion of the OCMA, can only be extended for investors in start-ups. </w:t>
      </w:r>
      <w:r>
        <w:rPr>
          <w:lang w:val="en-GB"/>
        </w:rPr>
        <w:t xml:space="preserve">At the time of collecting the permit, the applicant must also present: </w:t>
      </w:r>
      <w:r w:rsidRPr="00076591">
        <w:t>a valid health insurance policy for a year</w:t>
      </w:r>
      <w:r>
        <w:rPr>
          <w:rStyle w:val="FootnoteReference"/>
        </w:rPr>
        <w:footnoteReference w:id="18"/>
      </w:r>
      <w:r>
        <w:t xml:space="preserve"> and </w:t>
      </w:r>
      <w:r w:rsidRPr="00076591">
        <w:t>a health certificate issued by a Latvian health care institution stating that the foreign national does not suffer from tuberculosis in active phase</w:t>
      </w:r>
      <w:r>
        <w:t>.</w:t>
      </w:r>
      <w:r w:rsidRPr="00076591">
        <w:rPr>
          <w:vertAlign w:val="superscript"/>
        </w:rPr>
        <w:footnoteReference w:id="19"/>
      </w:r>
      <w:r>
        <w:t xml:space="preserve"> </w:t>
      </w:r>
      <w:r w:rsidRPr="00076591">
        <w:rPr>
          <w:lang w:val="fr-FR"/>
        </w:rPr>
        <w:t xml:space="preserve"> </w:t>
      </w:r>
      <w:r>
        <w:rPr>
          <w:lang w:val="en-GB"/>
        </w:rPr>
        <w:t xml:space="preserve"> </w:t>
      </w:r>
    </w:p>
    <w:p w14:paraId="47649FB8" w14:textId="0D4A3937" w:rsidR="00076591" w:rsidRDefault="00076591" w:rsidP="00197B64">
      <w:pPr>
        <w:pStyle w:val="MBT"/>
        <w:rPr>
          <w:lang w:val="en-GB"/>
        </w:rPr>
      </w:pPr>
    </w:p>
    <w:p w14:paraId="7381ACAC" w14:textId="21294CA8" w:rsidR="00076591" w:rsidRDefault="00076591" w:rsidP="00197B64">
      <w:pPr>
        <w:pStyle w:val="MBT"/>
      </w:pPr>
      <w:r>
        <w:rPr>
          <w:lang w:val="en-GB"/>
        </w:rPr>
        <w:t xml:space="preserve">The application can be </w:t>
      </w:r>
      <w:r>
        <w:rPr>
          <w:b/>
          <w:lang w:val="en-GB"/>
        </w:rPr>
        <w:t>turned down</w:t>
      </w:r>
      <w:r>
        <w:t xml:space="preserve"> in view of general grounds of refusal (applicable to all third-country nationals) or specific grounds of refusal (specific to investors). </w:t>
      </w:r>
      <w:r w:rsidR="00BD2601">
        <w:t xml:space="preserve">The former refer to the unfulfillment of the legal conditions on the application (e.g. all required documents have not been submitted, they are false or obtained unlawfully, the legal conditions – e.g. sufficient means, valid travel document, health insurance – are not met) or general grounds in regard of public safety, health and order (e.g. the foreigner represents a threat to these) or general grounds regarding legal migration (e.g. the foreigner is unlawfully residing in the territory or is subject to a prohibition of entry). The specific </w:t>
      </w:r>
      <w:r w:rsidR="00BD2601">
        <w:lastRenderedPageBreak/>
        <w:t>grounds of refusal refer to the unfulfillment of the investment requirements (see above ‘</w:t>
      </w:r>
      <w:r w:rsidR="00BD2601">
        <w:rPr>
          <w:i/>
        </w:rPr>
        <w:t>Conditions</w:t>
      </w:r>
      <w:r w:rsidR="00BD2601">
        <w:t xml:space="preserve">’). </w:t>
      </w:r>
    </w:p>
    <w:p w14:paraId="486E9DC6" w14:textId="56A79F7A" w:rsidR="00BD2601" w:rsidRDefault="00BD2601" w:rsidP="00197B64">
      <w:pPr>
        <w:pStyle w:val="MBT"/>
      </w:pPr>
    </w:p>
    <w:p w14:paraId="1FC62C35" w14:textId="125678B6" w:rsidR="00BD2601" w:rsidRPr="00BD2601" w:rsidRDefault="00BD2601" w:rsidP="00BD2601">
      <w:pPr>
        <w:pStyle w:val="MBT"/>
        <w:rPr>
          <w:lang w:val="en-GB"/>
        </w:rPr>
      </w:pPr>
      <w:r w:rsidRPr="00BD2601">
        <w:rPr>
          <w:lang w:val="en-GB"/>
        </w:rPr>
        <w:t xml:space="preserve">Pursuant to Article 40(1) and (2) of the Immigration Law, third-country nationals may </w:t>
      </w:r>
      <w:r w:rsidR="00E40FE3" w:rsidRPr="00E40FE3">
        <w:rPr>
          <w:b/>
          <w:lang w:val="en-GB"/>
        </w:rPr>
        <w:t>appeal</w:t>
      </w:r>
      <w:r w:rsidRPr="00BD2601">
        <w:rPr>
          <w:lang w:val="en-GB"/>
        </w:rPr>
        <w:t xml:space="preserve"> the decision regarding the refusal to issue (or register annually) a residence permit to the Head of the OCMA within 30 days after the day of entry into force of the decision. All decisions of the Head of the Office can be further appealed before the Administrative Court.</w:t>
      </w:r>
    </w:p>
    <w:p w14:paraId="7A628B0A" w14:textId="77777777" w:rsidR="00E40FE3" w:rsidRDefault="00E40FE3" w:rsidP="00197B64">
      <w:pPr>
        <w:pStyle w:val="MBT"/>
        <w:rPr>
          <w:lang w:val="en-GB"/>
        </w:rPr>
      </w:pPr>
    </w:p>
    <w:p w14:paraId="0314D0E7" w14:textId="39D34DF5" w:rsidR="00197B64" w:rsidRPr="00144994" w:rsidRDefault="00197B64" w:rsidP="00197B64">
      <w:pPr>
        <w:pStyle w:val="MBT"/>
        <w:rPr>
          <w:lang w:val="en-GB"/>
        </w:rPr>
      </w:pPr>
      <w:r w:rsidRPr="00144994">
        <w:rPr>
          <w:lang w:val="en-GB"/>
        </w:rPr>
        <w:t xml:space="preserve">The temporary residence permit issued to a foreign investor may be </w:t>
      </w:r>
      <w:r w:rsidRPr="00144994">
        <w:rPr>
          <w:b/>
          <w:lang w:val="en-GB"/>
        </w:rPr>
        <w:t>renewed for the same duration</w:t>
      </w:r>
      <w:r w:rsidRPr="00144994">
        <w:rPr>
          <w:lang w:val="en-GB"/>
        </w:rPr>
        <w:t xml:space="preserve"> as the initial permit. The law does not limit the number of renewals. The investment does not need to be renewed</w:t>
      </w:r>
      <w:r>
        <w:rPr>
          <w:lang w:val="en-GB"/>
        </w:rPr>
        <w:t>,</w:t>
      </w:r>
      <w:r w:rsidRPr="00144994">
        <w:rPr>
          <w:lang w:val="en-GB"/>
        </w:rPr>
        <w:t xml:space="preserve"> but the initial conditions for granting the permit should still be fulfilled. In relation to some forms of investment the law imposes additional requirements for the renewal of residence permits. For instance, investors in property, business and credit liabilities must pay a </w:t>
      </w:r>
      <w:r>
        <w:rPr>
          <w:lang w:val="en-GB"/>
        </w:rPr>
        <w:t xml:space="preserve">one-time </w:t>
      </w:r>
      <w:r w:rsidRPr="00144994">
        <w:rPr>
          <w:lang w:val="en-GB"/>
        </w:rPr>
        <w:t xml:space="preserve">charge of EUR 5 000 to the State budget. </w:t>
      </w:r>
    </w:p>
    <w:p w14:paraId="1982A96F" w14:textId="77777777" w:rsidR="00197B64" w:rsidRDefault="00197B64" w:rsidP="00CD0615">
      <w:pPr>
        <w:pStyle w:val="MMultilevel"/>
        <w:numPr>
          <w:ilvl w:val="0"/>
          <w:numId w:val="0"/>
        </w:numPr>
        <w:rPr>
          <w:lang w:val="en-GB"/>
        </w:rPr>
      </w:pPr>
    </w:p>
    <w:p w14:paraId="41CC85AD" w14:textId="62F931F7" w:rsidR="00197B64" w:rsidRPr="004F43EF" w:rsidRDefault="00197B64" w:rsidP="00CD0615">
      <w:pPr>
        <w:pStyle w:val="MMultilevel"/>
        <w:numPr>
          <w:ilvl w:val="0"/>
          <w:numId w:val="0"/>
        </w:numPr>
        <w:rPr>
          <w:i/>
          <w:u w:val="single"/>
          <w:lang w:val="en-GB"/>
        </w:rPr>
      </w:pPr>
      <w:r w:rsidRPr="004F43EF">
        <w:rPr>
          <w:i/>
          <w:u w:val="single"/>
          <w:lang w:val="en-GB"/>
        </w:rPr>
        <w:t>Security and ex-post checks</w:t>
      </w:r>
    </w:p>
    <w:p w14:paraId="256D15D3" w14:textId="076D77BC" w:rsidR="007A084E" w:rsidRDefault="00CD0615" w:rsidP="007A084E">
      <w:pPr>
        <w:pStyle w:val="MBT"/>
        <w:rPr>
          <w:lang w:val="en-GB"/>
        </w:rPr>
      </w:pPr>
      <w:r>
        <w:rPr>
          <w:lang w:val="en-GB"/>
        </w:rPr>
        <w:t xml:space="preserve">The background of the applicant is subject to </w:t>
      </w:r>
      <w:r>
        <w:rPr>
          <w:b/>
          <w:lang w:val="en-GB"/>
        </w:rPr>
        <w:t xml:space="preserve">security checks </w:t>
      </w:r>
      <w:r>
        <w:rPr>
          <w:lang w:val="en-GB"/>
        </w:rPr>
        <w:t>(i.e. clean criminal record</w:t>
      </w:r>
      <w:r w:rsidR="00AE574E">
        <w:rPr>
          <w:lang w:val="en-GB"/>
        </w:rPr>
        <w:t xml:space="preserve">). Although no information was retrieved on whether international databases (Schengen Information System, Europol and Interpol databases, etc.) are consulted in carrying out these checks, it can be assumed that at least the Schengen Information System is consulted as one of the reasons for refusal of the permit is that the person is </w:t>
      </w:r>
      <w:r w:rsidR="00AE574E" w:rsidRPr="00AE574E">
        <w:rPr>
          <w:lang w:val="en-GB"/>
        </w:rPr>
        <w:t xml:space="preserve">banned from entering the Schengen </w:t>
      </w:r>
      <w:r w:rsidR="00467FE2">
        <w:rPr>
          <w:lang w:val="en-GB"/>
        </w:rPr>
        <w:t>A</w:t>
      </w:r>
      <w:r w:rsidR="00AE574E" w:rsidRPr="00AE574E">
        <w:rPr>
          <w:lang w:val="en-GB"/>
        </w:rPr>
        <w:t>rea after being issued a residence permit</w:t>
      </w:r>
      <w:r w:rsidR="00AE574E">
        <w:rPr>
          <w:lang w:val="en-GB"/>
        </w:rPr>
        <w:t>. The application for a temporary residence permit can be, thus, refused on the basis of security and due diligence checks</w:t>
      </w:r>
      <w:r w:rsidR="00467FE2">
        <w:rPr>
          <w:lang w:val="en-GB"/>
        </w:rPr>
        <w:t>.</w:t>
      </w:r>
      <w:r w:rsidR="00AE574E" w:rsidRPr="00AE574E">
        <w:rPr>
          <w:vertAlign w:val="superscript"/>
          <w:lang w:val="en-GB"/>
        </w:rPr>
        <w:footnoteReference w:id="20"/>
      </w:r>
      <w:r w:rsidR="007A084E" w:rsidRPr="007A084E">
        <w:rPr>
          <w:lang w:val="en-GB"/>
        </w:rPr>
        <w:t xml:space="preserve"> </w:t>
      </w:r>
      <w:r w:rsidR="009F0EEA" w:rsidRPr="009F0EEA">
        <w:rPr>
          <w:lang w:val="en-GB"/>
        </w:rPr>
        <w:t>The latter in particular applies to security and criminality checks. All applications from foreign investors are sent to the Security Police for background checks.</w:t>
      </w:r>
    </w:p>
    <w:p w14:paraId="3AA1C59D" w14:textId="77777777" w:rsidR="009F0EEA" w:rsidRPr="00144994" w:rsidRDefault="009F0EEA" w:rsidP="007A084E">
      <w:pPr>
        <w:pStyle w:val="MBT"/>
        <w:rPr>
          <w:lang w:val="en-GB"/>
        </w:rPr>
      </w:pPr>
    </w:p>
    <w:p w14:paraId="00771497" w14:textId="699E9A50" w:rsidR="00CD0615" w:rsidRDefault="007A084E" w:rsidP="004F43EF">
      <w:pPr>
        <w:pStyle w:val="MBT"/>
      </w:pPr>
      <w:r w:rsidRPr="00144994">
        <w:rPr>
          <w:lang w:val="en-GB"/>
        </w:rPr>
        <w:t>The O</w:t>
      </w:r>
      <w:r w:rsidR="00467FE2">
        <w:rPr>
          <w:lang w:val="en-GB"/>
        </w:rPr>
        <w:t xml:space="preserve">CMA </w:t>
      </w:r>
      <w:r w:rsidRPr="00144994">
        <w:rPr>
          <w:lang w:val="en-GB"/>
        </w:rPr>
        <w:t xml:space="preserve">does not check the </w:t>
      </w:r>
      <w:r w:rsidRPr="00144994">
        <w:rPr>
          <w:b/>
          <w:lang w:val="en-GB"/>
        </w:rPr>
        <w:t>legality of investment funds</w:t>
      </w:r>
      <w:r w:rsidRPr="00144994">
        <w:rPr>
          <w:lang w:val="en-GB"/>
        </w:rPr>
        <w:t>. It relies on the Security Police and financial institutions ensuring money transfers that any suspicions in this regard</w:t>
      </w:r>
      <w:r>
        <w:rPr>
          <w:lang w:val="en-GB"/>
        </w:rPr>
        <w:t>, as required by law,</w:t>
      </w:r>
      <w:r w:rsidRPr="00144994">
        <w:rPr>
          <w:lang w:val="en-GB"/>
        </w:rPr>
        <w:t xml:space="preserve"> will be reported to the </w:t>
      </w:r>
      <w:r w:rsidRPr="00144994">
        <w:rPr>
          <w:b/>
          <w:lang w:val="en-GB"/>
        </w:rPr>
        <w:t>Latvian Financial Intelligence Unit</w:t>
      </w:r>
      <w:r w:rsidR="00467FE2">
        <w:rPr>
          <w:lang w:val="en-GB"/>
        </w:rPr>
        <w:t>.</w:t>
      </w:r>
      <w:r w:rsidRPr="00B91958">
        <w:rPr>
          <w:vertAlign w:val="superscript"/>
          <w:lang w:val="fr-FR"/>
        </w:rPr>
        <w:footnoteReference w:id="21"/>
      </w:r>
      <w:r w:rsidR="00B07F9F">
        <w:rPr>
          <w:b/>
          <w:lang w:val="en-GB"/>
        </w:rPr>
        <w:t xml:space="preserve"> </w:t>
      </w:r>
      <w:r w:rsidR="00B07F9F" w:rsidRPr="004F43EF">
        <w:t>The checks are carried out during the application for the temporary residence permit.</w:t>
      </w:r>
      <w:r w:rsidR="00B07F9F">
        <w:rPr>
          <w:lang w:val="en-GB"/>
        </w:rPr>
        <w:t xml:space="preserve"> </w:t>
      </w:r>
      <w:r w:rsidR="00B07F9F" w:rsidRPr="004F43EF">
        <w:t xml:space="preserve">Information provided in the application is checked </w:t>
      </w:r>
      <w:r w:rsidR="00B07F9F" w:rsidRPr="004F43EF">
        <w:rPr>
          <w:i/>
        </w:rPr>
        <w:t>vis-à-vis</w:t>
      </w:r>
      <w:r w:rsidR="00B07F9F" w:rsidRPr="004F43EF">
        <w:t xml:space="preserve"> the supporting documents submitted together with the application</w:t>
      </w:r>
      <w:r w:rsidR="00BD2601">
        <w:rPr>
          <w:bCs w:val="0"/>
        </w:rPr>
        <w:t xml:space="preserve"> (see ‘</w:t>
      </w:r>
      <w:r w:rsidR="00BD2601">
        <w:rPr>
          <w:bCs w:val="0"/>
          <w:i/>
        </w:rPr>
        <w:t>Conditions</w:t>
      </w:r>
      <w:r w:rsidR="00BD2601">
        <w:rPr>
          <w:bCs w:val="0"/>
        </w:rPr>
        <w:t>’)</w:t>
      </w:r>
      <w:r w:rsidR="00B07F9F" w:rsidRPr="004F43EF">
        <w:t>. Checks o</w:t>
      </w:r>
      <w:r w:rsidR="00467FE2">
        <w:rPr>
          <w:bCs w:val="0"/>
        </w:rPr>
        <w:t>n</w:t>
      </w:r>
      <w:r w:rsidR="00B07F9F" w:rsidRPr="004F43EF">
        <w:t xml:space="preserve"> investments are made in accordance with anti-money laundering legislation. </w:t>
      </w:r>
    </w:p>
    <w:p w14:paraId="0492E29B" w14:textId="77777777" w:rsidR="004F43EF" w:rsidRPr="00CD0615" w:rsidRDefault="004F43EF" w:rsidP="004F43EF">
      <w:pPr>
        <w:pStyle w:val="MBT"/>
        <w:rPr>
          <w:lang w:val="en-GB"/>
        </w:rPr>
      </w:pPr>
    </w:p>
    <w:p w14:paraId="69421FB2" w14:textId="16B08EFA" w:rsidR="00CD0615" w:rsidRPr="004F43EF" w:rsidRDefault="00197B64" w:rsidP="00CD0615">
      <w:pPr>
        <w:pStyle w:val="MMultilevel"/>
        <w:numPr>
          <w:ilvl w:val="0"/>
          <w:numId w:val="0"/>
        </w:numPr>
        <w:rPr>
          <w:i/>
          <w:u w:val="single"/>
          <w:lang w:val="en-GB"/>
        </w:rPr>
      </w:pPr>
      <w:r>
        <w:rPr>
          <w:i/>
          <w:u w:val="single"/>
          <w:lang w:val="en-GB"/>
        </w:rPr>
        <w:t>Family members</w:t>
      </w:r>
    </w:p>
    <w:p w14:paraId="3A246E96" w14:textId="0B9C0C17" w:rsidR="007C72E2" w:rsidRDefault="007C72E2" w:rsidP="00CD0615">
      <w:pPr>
        <w:pStyle w:val="MMultilevel"/>
        <w:numPr>
          <w:ilvl w:val="0"/>
          <w:numId w:val="0"/>
        </w:numPr>
        <w:rPr>
          <w:lang w:val="en-GB"/>
        </w:rPr>
      </w:pPr>
      <w:r w:rsidRPr="001514A4">
        <w:rPr>
          <w:b/>
          <w:lang w:val="en-GB"/>
        </w:rPr>
        <w:t>Family members</w:t>
      </w:r>
      <w:r w:rsidRPr="001514A4">
        <w:rPr>
          <w:lang w:val="en-GB"/>
        </w:rPr>
        <w:t xml:space="preserve"> of foreign investors (their spouses, underage children and persons</w:t>
      </w:r>
      <w:r>
        <w:rPr>
          <w:lang w:val="en-GB"/>
        </w:rPr>
        <w:t xml:space="preserve"> – including adults – </w:t>
      </w:r>
      <w:r w:rsidR="00CD0615">
        <w:rPr>
          <w:lang w:val="en-GB"/>
        </w:rPr>
        <w:t xml:space="preserve">under </w:t>
      </w:r>
      <w:r w:rsidR="00CD0615" w:rsidRPr="001514A4">
        <w:rPr>
          <w:lang w:val="en-GB"/>
        </w:rPr>
        <w:t>their</w:t>
      </w:r>
      <w:r w:rsidRPr="001514A4">
        <w:rPr>
          <w:lang w:val="en-GB"/>
        </w:rPr>
        <w:t xml:space="preserve"> guardianship) also have the right to </w:t>
      </w:r>
      <w:r>
        <w:rPr>
          <w:lang w:val="en-GB"/>
        </w:rPr>
        <w:t xml:space="preserve">temporary </w:t>
      </w:r>
      <w:r w:rsidRPr="001514A4">
        <w:rPr>
          <w:lang w:val="en-GB"/>
        </w:rPr>
        <w:t xml:space="preserve">residence. </w:t>
      </w:r>
      <w:r w:rsidR="00CD0615" w:rsidRPr="00CD0615">
        <w:rPr>
          <w:lang w:val="en-GB"/>
        </w:rPr>
        <w:t>There is no special procedure for family members to apply for a residence permit – the same general procedure applies</w:t>
      </w:r>
      <w:r w:rsidR="00467FE2">
        <w:rPr>
          <w:lang w:val="en-GB"/>
        </w:rPr>
        <w:t>.</w:t>
      </w:r>
      <w:r w:rsidR="00B91958">
        <w:rPr>
          <w:rStyle w:val="FootnoteReference"/>
          <w:lang w:val="en-GB"/>
        </w:rPr>
        <w:footnoteReference w:id="22"/>
      </w:r>
    </w:p>
    <w:p w14:paraId="42DFF14E" w14:textId="77777777" w:rsidR="007C72E2" w:rsidRDefault="007C72E2" w:rsidP="001514A4">
      <w:pPr>
        <w:pStyle w:val="MBT"/>
        <w:rPr>
          <w:lang w:val="en-GB"/>
        </w:rPr>
      </w:pPr>
    </w:p>
    <w:p w14:paraId="0D1A989E" w14:textId="3CD37E17" w:rsidR="001514A4" w:rsidRPr="004F43EF" w:rsidRDefault="00076591" w:rsidP="001514A4">
      <w:pPr>
        <w:pStyle w:val="NormalWeb"/>
        <w:spacing w:before="0" w:beforeAutospacing="0" w:after="0" w:afterAutospacing="0"/>
        <w:jc w:val="both"/>
        <w:rPr>
          <w:i/>
          <w:sz w:val="22"/>
          <w:szCs w:val="22"/>
          <w:u w:val="single"/>
          <w:lang w:val="en-GB"/>
        </w:rPr>
      </w:pPr>
      <w:r>
        <w:rPr>
          <w:i/>
          <w:sz w:val="22"/>
          <w:szCs w:val="22"/>
          <w:u w:val="single"/>
          <w:lang w:val="en-GB"/>
        </w:rPr>
        <w:t>Monitoring of the proceedings and authorities involved</w:t>
      </w:r>
    </w:p>
    <w:p w14:paraId="3173DE69" w14:textId="45283397" w:rsidR="001514A4" w:rsidRPr="001514A4" w:rsidRDefault="001514A4" w:rsidP="001514A4">
      <w:pPr>
        <w:pStyle w:val="NormalWeb"/>
        <w:spacing w:before="0" w:beforeAutospacing="0" w:after="0" w:afterAutospacing="0"/>
        <w:jc w:val="both"/>
        <w:rPr>
          <w:sz w:val="22"/>
          <w:szCs w:val="22"/>
          <w:lang w:val="en-GB"/>
        </w:rPr>
      </w:pPr>
      <w:r w:rsidRPr="001514A4">
        <w:rPr>
          <w:sz w:val="22"/>
          <w:szCs w:val="22"/>
          <w:lang w:val="en-GB"/>
        </w:rPr>
        <w:t xml:space="preserve">There is </w:t>
      </w:r>
      <w:r w:rsidRPr="001514A4">
        <w:rPr>
          <w:b/>
          <w:sz w:val="22"/>
          <w:szCs w:val="22"/>
          <w:lang w:val="en-GB"/>
        </w:rPr>
        <w:t>no cap</w:t>
      </w:r>
      <w:r w:rsidRPr="001514A4">
        <w:rPr>
          <w:sz w:val="22"/>
          <w:szCs w:val="22"/>
          <w:lang w:val="en-GB"/>
        </w:rPr>
        <w:t xml:space="preserve"> for the investors’ scheme.</w:t>
      </w:r>
    </w:p>
    <w:p w14:paraId="69CA52AB" w14:textId="4921AA3A" w:rsidR="00F32385" w:rsidRDefault="00F32385" w:rsidP="001514A4">
      <w:pPr>
        <w:pStyle w:val="NormalWeb"/>
        <w:spacing w:before="0" w:beforeAutospacing="0" w:after="0" w:afterAutospacing="0"/>
        <w:jc w:val="both"/>
        <w:rPr>
          <w:color w:val="2E74B5" w:themeColor="accent5" w:themeShade="BF"/>
          <w:sz w:val="22"/>
          <w:szCs w:val="22"/>
          <w:lang w:val="en-GB"/>
        </w:rPr>
      </w:pPr>
    </w:p>
    <w:p w14:paraId="6DAA88DE" w14:textId="4F228A9E" w:rsidR="00BD2601" w:rsidRPr="00BD2601" w:rsidRDefault="00BD2601" w:rsidP="00BD2601">
      <w:pPr>
        <w:widowControl w:val="0"/>
        <w:spacing w:after="0" w:line="240" w:lineRule="auto"/>
        <w:jc w:val="both"/>
        <w:rPr>
          <w:rFonts w:eastAsia="Times New Roman"/>
          <w:bCs/>
          <w:sz w:val="22"/>
          <w:szCs w:val="22"/>
          <w:lang w:eastAsia="fr-FR"/>
        </w:rPr>
      </w:pPr>
      <w:r w:rsidRPr="00BD2601">
        <w:rPr>
          <w:rFonts w:eastAsia="Times New Roman"/>
          <w:bCs/>
          <w:sz w:val="22"/>
          <w:szCs w:val="22"/>
          <w:lang w:eastAsia="fr-FR"/>
        </w:rPr>
        <w:t xml:space="preserve">As any State institution also the OCMA </w:t>
      </w:r>
      <w:r w:rsidRPr="004F43EF">
        <w:rPr>
          <w:rFonts w:eastAsia="Times New Roman"/>
          <w:b/>
          <w:bCs/>
          <w:sz w:val="22"/>
          <w:szCs w:val="22"/>
          <w:lang w:eastAsia="fr-FR"/>
        </w:rPr>
        <w:t>reports annually</w:t>
      </w:r>
      <w:r w:rsidRPr="00BD2601">
        <w:rPr>
          <w:rFonts w:eastAsia="Times New Roman"/>
          <w:bCs/>
          <w:sz w:val="22"/>
          <w:szCs w:val="22"/>
          <w:lang w:eastAsia="fr-FR"/>
        </w:rPr>
        <w:t xml:space="preserve"> about its work to the Government. The Office prepares a general overview of its work results as well as detailed overviews per subject matter. The most recent report on the investors’ residence scheme for the period from 1 July 2016 to 30 June 2017 was presented to the Government in November 2017</w:t>
      </w:r>
      <w:r w:rsidRPr="00BD2601">
        <w:rPr>
          <w:rFonts w:eastAsia="Times New Roman"/>
          <w:bCs/>
          <w:sz w:val="22"/>
          <w:szCs w:val="22"/>
          <w:vertAlign w:val="superscript"/>
          <w:lang w:eastAsia="fr-FR"/>
        </w:rPr>
        <w:footnoteReference w:id="23"/>
      </w:r>
      <w:r w:rsidRPr="00BD2601">
        <w:rPr>
          <w:rFonts w:eastAsia="Times New Roman"/>
          <w:bCs/>
          <w:sz w:val="22"/>
          <w:szCs w:val="22"/>
          <w:lang w:eastAsia="fr-FR"/>
        </w:rPr>
        <w:t xml:space="preserve">. This includes information on the number of successful and refused applications per type of investment, trends compared to previous reporting periods, economic impact and financial revenues related to residence of foreign investors and other information. </w:t>
      </w:r>
    </w:p>
    <w:p w14:paraId="42518C1B" w14:textId="77777777" w:rsidR="00BD2601" w:rsidRPr="00BD2601" w:rsidRDefault="00BD2601" w:rsidP="00BD2601">
      <w:pPr>
        <w:widowControl w:val="0"/>
        <w:spacing w:after="0" w:line="240" w:lineRule="auto"/>
        <w:jc w:val="both"/>
        <w:rPr>
          <w:rFonts w:eastAsia="Times New Roman"/>
          <w:bCs/>
          <w:sz w:val="22"/>
          <w:szCs w:val="22"/>
          <w:lang w:eastAsia="fr-FR"/>
        </w:rPr>
      </w:pPr>
    </w:p>
    <w:p w14:paraId="7DE08BD9" w14:textId="26413E43" w:rsidR="00BD2601" w:rsidRPr="00BD2601" w:rsidRDefault="00BD2601" w:rsidP="00BD2601">
      <w:pPr>
        <w:widowControl w:val="0"/>
        <w:spacing w:after="0" w:line="240" w:lineRule="auto"/>
        <w:jc w:val="both"/>
        <w:rPr>
          <w:rFonts w:eastAsia="Times New Roman"/>
          <w:bCs/>
          <w:sz w:val="22"/>
          <w:szCs w:val="22"/>
          <w:lang w:eastAsia="fr-FR"/>
        </w:rPr>
      </w:pPr>
      <w:r>
        <w:rPr>
          <w:rFonts w:eastAsia="Times New Roman"/>
          <w:bCs/>
          <w:sz w:val="22"/>
          <w:szCs w:val="22"/>
          <w:lang w:eastAsia="fr-FR"/>
        </w:rPr>
        <w:lastRenderedPageBreak/>
        <w:t xml:space="preserve">Regarding </w:t>
      </w:r>
      <w:r w:rsidRPr="00E40FE3">
        <w:rPr>
          <w:rFonts w:eastAsia="Times New Roman"/>
          <w:b/>
          <w:bCs/>
          <w:sz w:val="22"/>
          <w:szCs w:val="22"/>
          <w:lang w:eastAsia="fr-FR"/>
        </w:rPr>
        <w:t>scrutiny</w:t>
      </w:r>
      <w:r w:rsidRPr="004F43EF">
        <w:rPr>
          <w:rFonts w:eastAsia="Times New Roman"/>
          <w:b/>
          <w:bCs/>
          <w:sz w:val="22"/>
          <w:szCs w:val="22"/>
          <w:lang w:eastAsia="fr-FR"/>
        </w:rPr>
        <w:t xml:space="preserve"> mechanisms</w:t>
      </w:r>
      <w:r>
        <w:rPr>
          <w:rFonts w:eastAsia="Times New Roman"/>
          <w:bCs/>
          <w:sz w:val="22"/>
          <w:szCs w:val="22"/>
          <w:lang w:eastAsia="fr-FR"/>
        </w:rPr>
        <w:t>, s</w:t>
      </w:r>
      <w:r w:rsidRPr="00E40FE3">
        <w:rPr>
          <w:rFonts w:eastAsia="Times New Roman"/>
          <w:bCs/>
          <w:sz w:val="22"/>
          <w:szCs w:val="22"/>
          <w:lang w:eastAsia="fr-FR"/>
        </w:rPr>
        <w:t>ince</w:t>
      </w:r>
      <w:r w:rsidRPr="00BD2601">
        <w:rPr>
          <w:rFonts w:eastAsia="Times New Roman"/>
          <w:bCs/>
          <w:sz w:val="22"/>
          <w:szCs w:val="22"/>
          <w:lang w:eastAsia="fr-FR"/>
        </w:rPr>
        <w:t xml:space="preserve"> the Government is accountable to the Parliament, it reports annually also to the competent committees of the Parliament. In addition, Article 27 of the Constitution authorises the parliament to exercise parliamentary scrutiny. The Parliament and its committees have the right to submit requests to the Government. The Government must respond to these requests by providing all the relevant information. In relation to migration matters and, thus, the investors’ residence scheme, there are two main committees which conduct parliamentary scrutiny. These are the Citizenship, Migration and Social Cohesion Committee</w:t>
      </w:r>
      <w:r w:rsidRPr="00BD2601">
        <w:rPr>
          <w:rFonts w:eastAsia="Times New Roman"/>
          <w:bCs/>
          <w:sz w:val="22"/>
          <w:szCs w:val="22"/>
          <w:vertAlign w:val="superscript"/>
          <w:lang w:eastAsia="fr-FR"/>
        </w:rPr>
        <w:footnoteReference w:id="24"/>
      </w:r>
      <w:r w:rsidRPr="00BD2601">
        <w:rPr>
          <w:rFonts w:eastAsia="Times New Roman"/>
          <w:bCs/>
          <w:sz w:val="22"/>
          <w:szCs w:val="22"/>
          <w:lang w:eastAsia="fr-FR"/>
        </w:rPr>
        <w:t xml:space="preserve"> and the </w:t>
      </w:r>
      <w:r w:rsidRPr="00BD2601">
        <w:rPr>
          <w:rFonts w:eastAsia="Times New Roman"/>
          <w:sz w:val="22"/>
          <w:szCs w:val="22"/>
          <w:lang w:eastAsia="fr-FR"/>
        </w:rPr>
        <w:t>Defence, Internal Affairs and Corruption Prevention Committee</w:t>
      </w:r>
      <w:r w:rsidRPr="00BD2601">
        <w:rPr>
          <w:rFonts w:eastAsia="Times New Roman"/>
          <w:sz w:val="22"/>
          <w:szCs w:val="22"/>
          <w:vertAlign w:val="superscript"/>
          <w:lang w:eastAsia="fr-FR"/>
        </w:rPr>
        <w:footnoteReference w:id="25"/>
      </w:r>
      <w:r w:rsidRPr="00BD2601">
        <w:rPr>
          <w:rFonts w:eastAsia="Times New Roman"/>
          <w:sz w:val="22"/>
          <w:szCs w:val="22"/>
          <w:lang w:eastAsia="fr-FR"/>
        </w:rPr>
        <w:t xml:space="preserve">. </w:t>
      </w:r>
    </w:p>
    <w:p w14:paraId="2A61F234" w14:textId="77777777" w:rsidR="00BD2601" w:rsidRPr="00BD2601" w:rsidRDefault="00BD2601" w:rsidP="00BD2601">
      <w:pPr>
        <w:widowControl w:val="0"/>
        <w:spacing w:after="0" w:line="240" w:lineRule="auto"/>
        <w:jc w:val="both"/>
        <w:rPr>
          <w:rFonts w:eastAsia="Times New Roman"/>
          <w:sz w:val="22"/>
          <w:szCs w:val="22"/>
          <w:lang w:eastAsia="fr-FR"/>
        </w:rPr>
      </w:pPr>
    </w:p>
    <w:p w14:paraId="7533B3AF" w14:textId="036AB090" w:rsidR="00BD2601" w:rsidRPr="004F43EF" w:rsidRDefault="00BD2601" w:rsidP="004F43EF">
      <w:pPr>
        <w:widowControl w:val="0"/>
        <w:spacing w:after="0" w:line="240" w:lineRule="auto"/>
        <w:jc w:val="both"/>
        <w:rPr>
          <w:sz w:val="22"/>
          <w:szCs w:val="22"/>
        </w:rPr>
      </w:pPr>
      <w:r w:rsidRPr="004F43EF">
        <w:rPr>
          <w:rFonts w:eastAsia="Times New Roman"/>
          <w:bCs/>
          <w:sz w:val="22"/>
          <w:szCs w:val="22"/>
          <w:lang w:eastAsia="fr-FR"/>
        </w:rPr>
        <w:t xml:space="preserve">The </w:t>
      </w:r>
      <w:r w:rsidRPr="004F43EF">
        <w:rPr>
          <w:rFonts w:eastAsia="Times New Roman"/>
          <w:sz w:val="22"/>
          <w:szCs w:val="22"/>
          <w:lang w:eastAsia="fr-FR"/>
        </w:rPr>
        <w:t xml:space="preserve">Defence, Internal Affairs and Corruption Prevention Committee has been actively scrutinising </w:t>
      </w:r>
      <w:r w:rsidRPr="004F43EF">
        <w:rPr>
          <w:rFonts w:eastAsia="Times New Roman"/>
          <w:bCs/>
          <w:sz w:val="22"/>
          <w:szCs w:val="22"/>
          <w:lang w:eastAsia="fr-FR"/>
        </w:rPr>
        <w:t xml:space="preserve">the investors’ residence scheme and, in particular, the number of successful applications. It has proposed various amendments to the Immigration Law to prevent abuse of the scheme and to limit the number of successful applications (such as introducing a </w:t>
      </w:r>
      <w:r w:rsidRPr="004F43EF">
        <w:rPr>
          <w:rFonts w:eastAsia="Times New Roman"/>
          <w:b/>
          <w:bCs/>
          <w:sz w:val="22"/>
          <w:szCs w:val="22"/>
          <w:lang w:eastAsia="fr-FR"/>
        </w:rPr>
        <w:t>scheme cap</w:t>
      </w:r>
      <w:r w:rsidRPr="004F43EF">
        <w:rPr>
          <w:rFonts w:eastAsia="Times New Roman"/>
          <w:bCs/>
          <w:sz w:val="22"/>
          <w:szCs w:val="22"/>
          <w:vertAlign w:val="superscript"/>
          <w:lang w:eastAsia="fr-FR"/>
        </w:rPr>
        <w:footnoteReference w:id="26"/>
      </w:r>
      <w:r w:rsidRPr="004F43EF">
        <w:rPr>
          <w:rFonts w:eastAsia="Times New Roman"/>
          <w:bCs/>
          <w:sz w:val="22"/>
          <w:szCs w:val="22"/>
          <w:lang w:eastAsia="fr-FR"/>
        </w:rPr>
        <w:t xml:space="preserve">, however, this proposal was not supported). </w:t>
      </w:r>
    </w:p>
    <w:p w14:paraId="4D08B2A5" w14:textId="77777777" w:rsidR="00BD2601" w:rsidRPr="004F43EF" w:rsidRDefault="00BD2601" w:rsidP="001514A4">
      <w:pPr>
        <w:pStyle w:val="NormalWeb"/>
        <w:spacing w:before="0" w:beforeAutospacing="0" w:after="0" w:afterAutospacing="0"/>
        <w:jc w:val="both"/>
        <w:rPr>
          <w:i/>
          <w:sz w:val="22"/>
          <w:szCs w:val="22"/>
          <w:u w:val="single"/>
          <w:lang w:val="en-GB"/>
        </w:rPr>
      </w:pPr>
    </w:p>
    <w:p w14:paraId="1D578540" w14:textId="77777777" w:rsidR="00E40FE3" w:rsidRPr="004F43EF" w:rsidRDefault="00076591" w:rsidP="00E40FE3">
      <w:pPr>
        <w:pStyle w:val="NormalWeb"/>
        <w:spacing w:before="0" w:beforeAutospacing="0" w:after="0" w:afterAutospacing="0"/>
        <w:jc w:val="both"/>
        <w:rPr>
          <w:i/>
          <w:sz w:val="22"/>
          <w:szCs w:val="22"/>
          <w:u w:val="single"/>
          <w:lang w:val="en-GB"/>
        </w:rPr>
      </w:pPr>
      <w:r w:rsidRPr="004F43EF">
        <w:rPr>
          <w:i/>
          <w:sz w:val="22"/>
          <w:szCs w:val="22"/>
          <w:u w:val="single"/>
          <w:lang w:val="en-GB"/>
        </w:rPr>
        <w:t>Rights</w:t>
      </w:r>
    </w:p>
    <w:p w14:paraId="119433F4" w14:textId="00C249C8" w:rsidR="00E40FE3" w:rsidRPr="00E40FE3" w:rsidRDefault="00E40FE3" w:rsidP="004F43EF">
      <w:pPr>
        <w:pStyle w:val="MBT"/>
      </w:pPr>
      <w:r w:rsidRPr="004F43EF">
        <w:rPr>
          <w:bCs w:val="0"/>
        </w:rPr>
        <w:t>A</w:t>
      </w:r>
      <w:r w:rsidRPr="004F43EF">
        <w:rPr>
          <w:lang w:eastAsia="nl-BE"/>
        </w:rPr>
        <w:t xml:space="preserve"> temporary residence permit gives the foreigner the </w:t>
      </w:r>
      <w:r w:rsidRPr="004F43EF">
        <w:rPr>
          <w:b/>
          <w:lang w:eastAsia="nl-BE"/>
        </w:rPr>
        <w:t>right to reside</w:t>
      </w:r>
      <w:r w:rsidRPr="004F43EF">
        <w:rPr>
          <w:lang w:eastAsia="nl-BE"/>
        </w:rPr>
        <w:t xml:space="preserve"> in Latvia for the duration of the permit</w:t>
      </w:r>
      <w:r w:rsidRPr="004F43EF">
        <w:rPr>
          <w:bCs w:val="0"/>
        </w:rPr>
        <w:t xml:space="preserve"> (</w:t>
      </w:r>
      <w:r w:rsidRPr="004F43EF">
        <w:rPr>
          <w:lang w:eastAsia="nl-BE"/>
        </w:rPr>
        <w:t>up to three or five years depending on the type of investment</w:t>
      </w:r>
      <w:r w:rsidRPr="004F43EF">
        <w:rPr>
          <w:bCs w:val="0"/>
        </w:rPr>
        <w:t>)</w:t>
      </w:r>
      <w:r w:rsidRPr="004F43EF">
        <w:rPr>
          <w:lang w:eastAsia="nl-BE"/>
        </w:rPr>
        <w:t>. The immigrant investor also acquires the right of travelling within the Schengen Treaty Member States.</w:t>
      </w:r>
      <w:r w:rsidRPr="004F43EF">
        <w:rPr>
          <w:bCs w:val="0"/>
        </w:rPr>
        <w:t xml:space="preserve"> </w:t>
      </w:r>
      <w:r w:rsidRPr="004F43EF">
        <w:t xml:space="preserve">The immigrant investor who has purchased real estate, invested in business, </w:t>
      </w:r>
      <w:proofErr w:type="gramStart"/>
      <w:r w:rsidRPr="004F43EF">
        <w:t>State</w:t>
      </w:r>
      <w:proofErr w:type="gramEnd"/>
      <w:r w:rsidRPr="004F43EF">
        <w:t xml:space="preserve"> securities or subordinate obligations of a credit institutions is entitled to </w:t>
      </w:r>
      <w:r w:rsidRPr="004F43EF">
        <w:rPr>
          <w:b/>
        </w:rPr>
        <w:t>perform commercial activity (also as self-employed) or to be employed</w:t>
      </w:r>
      <w:r w:rsidRPr="004F43EF">
        <w:t xml:space="preserve"> without restrictions.</w:t>
      </w:r>
      <w:r w:rsidRPr="004F43EF">
        <w:rPr>
          <w:vertAlign w:val="superscript"/>
        </w:rPr>
        <w:footnoteReference w:id="27"/>
      </w:r>
      <w:r w:rsidRPr="004F43EF">
        <w:t xml:space="preserve"> This is specified </w:t>
      </w:r>
      <w:r w:rsidRPr="00E40FE3">
        <w:t>on their residence permit.</w:t>
      </w:r>
      <w:r>
        <w:t xml:space="preserve"> Meanwhile, i</w:t>
      </w:r>
      <w:r w:rsidRPr="00E40FE3">
        <w:t>nvestors in start-ups</w:t>
      </w:r>
      <w:r>
        <w:t xml:space="preserve"> are </w:t>
      </w:r>
      <w:r>
        <w:rPr>
          <w:b/>
        </w:rPr>
        <w:t xml:space="preserve">limited </w:t>
      </w:r>
      <w:r>
        <w:t xml:space="preserve">in </w:t>
      </w:r>
      <w:r w:rsidRPr="00E40FE3">
        <w:t>their rights to commercial activity or to be employed</w:t>
      </w:r>
      <w:r>
        <w:t>: they can only be employed or participate</w:t>
      </w:r>
      <w:r w:rsidRPr="00E40FE3">
        <w:t xml:space="preserve"> in the company developing the innovative product. The law explicitly forbids them to be employed by any other employer or participate in an official capacity in any other capital company</w:t>
      </w:r>
      <w:r>
        <w:t>.</w:t>
      </w:r>
      <w:r w:rsidRPr="00E40FE3">
        <w:rPr>
          <w:vertAlign w:val="superscript"/>
        </w:rPr>
        <w:footnoteReference w:id="28"/>
      </w:r>
      <w:r w:rsidRPr="00E40FE3">
        <w:t xml:space="preserve"> This limitation in terms of market access is </w:t>
      </w:r>
      <w:r>
        <w:t xml:space="preserve">also </w:t>
      </w:r>
      <w:r w:rsidRPr="00E40FE3">
        <w:t xml:space="preserve">specified on the investor’s residence permit. </w:t>
      </w:r>
    </w:p>
    <w:p w14:paraId="7D99CD36" w14:textId="77777777" w:rsidR="00E40FE3" w:rsidRPr="00E40FE3" w:rsidRDefault="00E40FE3" w:rsidP="00E40FE3">
      <w:pPr>
        <w:widowControl w:val="0"/>
        <w:spacing w:after="0" w:line="240" w:lineRule="auto"/>
        <w:jc w:val="both"/>
        <w:rPr>
          <w:rFonts w:eastAsia="Times New Roman"/>
          <w:bCs/>
          <w:sz w:val="22"/>
          <w:szCs w:val="22"/>
          <w:lang w:eastAsia="fr-FR"/>
        </w:rPr>
      </w:pPr>
    </w:p>
    <w:p w14:paraId="5E808EDA" w14:textId="66C9DA99" w:rsidR="00E40FE3" w:rsidRDefault="00E40FE3" w:rsidP="00E40FE3">
      <w:pPr>
        <w:widowControl w:val="0"/>
        <w:spacing w:after="0" w:line="240" w:lineRule="auto"/>
        <w:jc w:val="both"/>
        <w:rPr>
          <w:rFonts w:eastAsia="Times New Roman"/>
          <w:bCs/>
          <w:sz w:val="22"/>
          <w:szCs w:val="22"/>
          <w:lang w:eastAsia="fr-FR"/>
        </w:rPr>
      </w:pPr>
      <w:r w:rsidRPr="00E40FE3">
        <w:rPr>
          <w:rFonts w:eastAsia="Times New Roman"/>
          <w:bCs/>
          <w:sz w:val="22"/>
          <w:szCs w:val="22"/>
          <w:lang w:eastAsia="fr-FR"/>
        </w:rPr>
        <w:t xml:space="preserve">The </w:t>
      </w:r>
      <w:r w:rsidRPr="004F43EF">
        <w:rPr>
          <w:rFonts w:eastAsia="Times New Roman"/>
          <w:b/>
          <w:bCs/>
          <w:sz w:val="22"/>
          <w:szCs w:val="22"/>
          <w:lang w:eastAsia="fr-FR"/>
        </w:rPr>
        <w:t>Single Permit Directive</w:t>
      </w:r>
      <w:r w:rsidRPr="00E40FE3">
        <w:rPr>
          <w:rFonts w:eastAsia="Times New Roman"/>
          <w:bCs/>
          <w:sz w:val="22"/>
          <w:szCs w:val="22"/>
          <w:vertAlign w:val="superscript"/>
          <w:lang w:eastAsia="fr-FR"/>
        </w:rPr>
        <w:footnoteReference w:id="29"/>
      </w:r>
      <w:r w:rsidRPr="00E40FE3">
        <w:rPr>
          <w:rFonts w:eastAsia="Times New Roman"/>
          <w:bCs/>
          <w:sz w:val="22"/>
          <w:szCs w:val="22"/>
          <w:lang w:eastAsia="fr-FR"/>
        </w:rPr>
        <w:t xml:space="preserve"> has been transposed to Latvian legislation by the Immigration Law and Regulation No 564. The rights on equal treatment (Article 12 of the Directive) are fully applicable to </w:t>
      </w:r>
      <w:r w:rsidRPr="004F43EF">
        <w:rPr>
          <w:rFonts w:eastAsia="Times New Roman"/>
          <w:b/>
          <w:bCs/>
          <w:sz w:val="22"/>
          <w:szCs w:val="22"/>
          <w:lang w:eastAsia="fr-FR"/>
        </w:rPr>
        <w:t>investors and their family members</w:t>
      </w:r>
      <w:r w:rsidRPr="00E40FE3">
        <w:rPr>
          <w:rFonts w:eastAsia="Times New Roman"/>
          <w:bCs/>
          <w:sz w:val="22"/>
          <w:szCs w:val="22"/>
          <w:lang w:eastAsia="fr-FR"/>
        </w:rPr>
        <w:t>.</w:t>
      </w:r>
      <w:r w:rsidRPr="00E40FE3">
        <w:rPr>
          <w:rFonts w:eastAsia="Times New Roman"/>
          <w:bCs/>
          <w:sz w:val="22"/>
          <w:szCs w:val="22"/>
          <w:vertAlign w:val="superscript"/>
          <w:lang w:eastAsia="fr-FR"/>
        </w:rPr>
        <w:footnoteReference w:id="30"/>
      </w:r>
      <w:r w:rsidRPr="00E40FE3">
        <w:rPr>
          <w:rFonts w:eastAsia="Times New Roman"/>
          <w:bCs/>
          <w:sz w:val="22"/>
          <w:szCs w:val="22"/>
          <w:lang w:eastAsia="fr-FR"/>
        </w:rPr>
        <w:t xml:space="preserve"> Such rights include the right to equal treatment with Latvian nationals with regard to working conditions; education and vocational training; recognition of diplomas, certificates and other professional qualifications; branches of social security, including healthcare; access to goods and services, including procedures for obtaining housing; freedom of association and affiliation and advice services afforded by employment offices.</w:t>
      </w:r>
      <w:r>
        <w:rPr>
          <w:rFonts w:eastAsia="Times New Roman"/>
          <w:bCs/>
          <w:sz w:val="22"/>
          <w:szCs w:val="22"/>
          <w:lang w:eastAsia="fr-FR"/>
        </w:rPr>
        <w:t xml:space="preserve"> Furthermore, f</w:t>
      </w:r>
      <w:r w:rsidRPr="00E40FE3">
        <w:rPr>
          <w:rFonts w:eastAsia="Times New Roman"/>
          <w:bCs/>
          <w:sz w:val="22"/>
          <w:szCs w:val="22"/>
          <w:lang w:eastAsia="fr-FR"/>
        </w:rPr>
        <w:t>amily members of all investors are granted full access to labour market and given full rights to participate in business activities (including as self-employed)</w:t>
      </w:r>
      <w:r w:rsidRPr="00E40FE3">
        <w:rPr>
          <w:rFonts w:eastAsia="Times New Roman"/>
          <w:bCs/>
          <w:sz w:val="22"/>
          <w:szCs w:val="22"/>
          <w:vertAlign w:val="superscript"/>
          <w:lang w:eastAsia="fr-FR"/>
        </w:rPr>
        <w:footnoteReference w:id="31"/>
      </w:r>
      <w:r w:rsidRPr="00E40FE3">
        <w:rPr>
          <w:rFonts w:eastAsia="Times New Roman"/>
          <w:bCs/>
          <w:sz w:val="22"/>
          <w:szCs w:val="22"/>
          <w:lang w:eastAsia="fr-FR"/>
        </w:rPr>
        <w:t xml:space="preserve">. </w:t>
      </w:r>
    </w:p>
    <w:p w14:paraId="014FDA07" w14:textId="6F6BF071" w:rsidR="00E40FE3" w:rsidRDefault="00E40FE3" w:rsidP="00E40FE3">
      <w:pPr>
        <w:widowControl w:val="0"/>
        <w:spacing w:after="0" w:line="240" w:lineRule="auto"/>
        <w:jc w:val="both"/>
        <w:rPr>
          <w:rFonts w:eastAsia="Times New Roman"/>
          <w:bCs/>
          <w:sz w:val="22"/>
          <w:szCs w:val="22"/>
          <w:lang w:eastAsia="fr-FR"/>
        </w:rPr>
      </w:pPr>
    </w:p>
    <w:p w14:paraId="1AF41E35" w14:textId="14D14CDF" w:rsidR="00E40FE3" w:rsidRPr="004F43EF" w:rsidRDefault="00E40FE3" w:rsidP="00E40FE3">
      <w:pPr>
        <w:widowControl w:val="0"/>
        <w:spacing w:after="0" w:line="240" w:lineRule="auto"/>
        <w:jc w:val="both"/>
        <w:rPr>
          <w:rFonts w:eastAsia="Times New Roman"/>
          <w:bCs/>
          <w:sz w:val="22"/>
          <w:szCs w:val="22"/>
          <w:lang w:eastAsia="fr-FR"/>
        </w:rPr>
      </w:pPr>
      <w:r w:rsidRPr="004F43EF">
        <w:rPr>
          <w:rFonts w:eastAsia="Times New Roman"/>
          <w:bCs/>
          <w:sz w:val="22"/>
          <w:szCs w:val="22"/>
          <w:lang w:eastAsia="fr-FR"/>
        </w:rPr>
        <w:t>No additional rights or benefits, such as tax benefits are granted to foreign investors.</w:t>
      </w:r>
      <w:r w:rsidRPr="004F43EF">
        <w:rPr>
          <w:rFonts w:eastAsia="Times New Roman"/>
          <w:bCs/>
          <w:sz w:val="22"/>
          <w:szCs w:val="22"/>
          <w:vertAlign w:val="superscript"/>
          <w:lang w:eastAsia="fr-FR"/>
        </w:rPr>
        <w:footnoteReference w:id="32"/>
      </w:r>
    </w:p>
    <w:p w14:paraId="2ACCB004" w14:textId="77777777" w:rsidR="00E40FE3" w:rsidRPr="004F43EF" w:rsidRDefault="00E40FE3" w:rsidP="001514A4">
      <w:pPr>
        <w:pStyle w:val="NormalWeb"/>
        <w:spacing w:before="0" w:beforeAutospacing="0" w:after="0" w:afterAutospacing="0"/>
        <w:jc w:val="both"/>
        <w:rPr>
          <w:sz w:val="22"/>
          <w:szCs w:val="22"/>
          <w:lang w:val="en-GB"/>
        </w:rPr>
      </w:pPr>
    </w:p>
    <w:p w14:paraId="5D062C3A" w14:textId="07F27BDB" w:rsidR="00472CEE" w:rsidRPr="001514A4" w:rsidRDefault="00472CEE" w:rsidP="001514A4">
      <w:pPr>
        <w:pStyle w:val="NormalWeb"/>
        <w:spacing w:before="0" w:beforeAutospacing="0" w:after="0" w:afterAutospacing="0"/>
        <w:jc w:val="both"/>
        <w:rPr>
          <w:b/>
          <w:i/>
          <w:sz w:val="22"/>
          <w:szCs w:val="22"/>
        </w:rPr>
      </w:pPr>
      <w:r w:rsidRPr="004F43EF">
        <w:rPr>
          <w:b/>
          <w:i/>
          <w:sz w:val="22"/>
          <w:szCs w:val="22"/>
        </w:rPr>
        <w:t xml:space="preserve">Other </w:t>
      </w:r>
      <w:r w:rsidRPr="001514A4">
        <w:rPr>
          <w:b/>
          <w:i/>
          <w:sz w:val="22"/>
          <w:szCs w:val="22"/>
        </w:rPr>
        <w:t>matters</w:t>
      </w:r>
    </w:p>
    <w:p w14:paraId="2770985B" w14:textId="3C7ECD72" w:rsidR="001514A4" w:rsidRDefault="001514A4" w:rsidP="001514A4">
      <w:pPr>
        <w:pStyle w:val="MBT"/>
        <w:rPr>
          <w:lang w:val="en-GB"/>
        </w:rPr>
      </w:pPr>
    </w:p>
    <w:p w14:paraId="679C5E5C" w14:textId="57D5747B" w:rsidR="00E40FE3" w:rsidRPr="004F43EF" w:rsidRDefault="00E40FE3" w:rsidP="001514A4">
      <w:pPr>
        <w:pStyle w:val="MBT"/>
        <w:rPr>
          <w:i/>
          <w:u w:val="single"/>
          <w:lang w:val="en-GB"/>
        </w:rPr>
      </w:pPr>
      <w:r>
        <w:rPr>
          <w:i/>
          <w:u w:val="single"/>
          <w:lang w:val="en-GB"/>
        </w:rPr>
        <w:t>Link to citizenship</w:t>
      </w:r>
    </w:p>
    <w:p w14:paraId="5577E4E7" w14:textId="4C02C388" w:rsidR="009044C3" w:rsidRPr="00CD0615" w:rsidRDefault="009044C3" w:rsidP="00CD0615">
      <w:pPr>
        <w:pStyle w:val="MBT"/>
        <w:rPr>
          <w:lang w:val="en-GB"/>
        </w:rPr>
      </w:pPr>
      <w:r w:rsidRPr="001514A4">
        <w:rPr>
          <w:lang w:val="en-GB"/>
        </w:rPr>
        <w:t xml:space="preserve">There is </w:t>
      </w:r>
      <w:r w:rsidRPr="00CD0615">
        <w:rPr>
          <w:b/>
          <w:lang w:val="en-GB"/>
        </w:rPr>
        <w:t>no interaction between the Latvian investors’ residence scheme and citizenship</w:t>
      </w:r>
      <w:r w:rsidRPr="001514A4">
        <w:rPr>
          <w:lang w:val="en-GB"/>
        </w:rPr>
        <w:t xml:space="preserve">. Citizenship can be obtained through the general naturalisation </w:t>
      </w:r>
      <w:r w:rsidR="00CD0615">
        <w:rPr>
          <w:lang w:val="en-GB"/>
        </w:rPr>
        <w:t>procedure under which foreign investors must first obtain a permanent residence permit (after five uninterrupted years of residence) and then hold the permanent residence permit for another five years (i.e. a total of ten years of uninterrupted, legal residence in Latvia). In addition, foreigners must also:</w:t>
      </w:r>
      <w:r w:rsidR="00CD0615" w:rsidRPr="00CD0615">
        <w:t xml:space="preserve"> be fluent in the Latvian language;</w:t>
      </w:r>
      <w:r w:rsidR="00CD0615">
        <w:t xml:space="preserve"> </w:t>
      </w:r>
      <w:r w:rsidR="00CD0615" w:rsidRPr="00CD0615">
        <w:t>know of the basic principles of the Constitution (</w:t>
      </w:r>
      <w:proofErr w:type="spellStart"/>
      <w:r w:rsidR="00CD0615" w:rsidRPr="00CD0615">
        <w:rPr>
          <w:i/>
        </w:rPr>
        <w:t>Satversme</w:t>
      </w:r>
      <w:proofErr w:type="spellEnd"/>
      <w:r w:rsidR="00CD0615" w:rsidRPr="00CD0615">
        <w:t xml:space="preserve">); know the text of the National Anthem, and the basics of </w:t>
      </w:r>
      <w:r w:rsidR="00467FE2">
        <w:t xml:space="preserve">Latvia’s </w:t>
      </w:r>
      <w:r w:rsidR="00CD0615" w:rsidRPr="00CD0615">
        <w:t>history and culture;</w:t>
      </w:r>
      <w:r w:rsidR="00CD0615">
        <w:t xml:space="preserve"> </w:t>
      </w:r>
      <w:r w:rsidR="00CD0615" w:rsidRPr="00CD0615">
        <w:t xml:space="preserve">prove that </w:t>
      </w:r>
      <w:r w:rsidR="00467FE2">
        <w:t>they have</w:t>
      </w:r>
      <w:r w:rsidR="00CD0615" w:rsidRPr="00CD0615">
        <w:t xml:space="preserve"> a legal source of income; sign a pledge of loyalty to the laws and nation of Latvia; </w:t>
      </w:r>
      <w:r w:rsidR="00CD0615">
        <w:t xml:space="preserve">and </w:t>
      </w:r>
      <w:r w:rsidR="00CD0615" w:rsidRPr="00CD0615">
        <w:rPr>
          <w:lang w:val="en-GB"/>
        </w:rPr>
        <w:t xml:space="preserve">provide proof that </w:t>
      </w:r>
      <w:r w:rsidR="00467FE2">
        <w:rPr>
          <w:lang w:val="en-GB"/>
        </w:rPr>
        <w:t>they</w:t>
      </w:r>
      <w:r w:rsidR="00CD0615" w:rsidRPr="00CD0615">
        <w:rPr>
          <w:lang w:val="en-GB"/>
        </w:rPr>
        <w:t xml:space="preserve"> renounced </w:t>
      </w:r>
      <w:r w:rsidR="00467FE2">
        <w:rPr>
          <w:lang w:val="en-GB"/>
        </w:rPr>
        <w:t>their</w:t>
      </w:r>
      <w:r w:rsidR="00CD0615" w:rsidRPr="00CD0615">
        <w:rPr>
          <w:lang w:val="en-GB"/>
        </w:rPr>
        <w:t xml:space="preserve"> former citizenship; this does not apply to citizens of NATO Member States, Australia, Brazil, New Zealand and other countries with wh</w:t>
      </w:r>
      <w:r w:rsidR="00467FE2">
        <w:rPr>
          <w:lang w:val="en-GB"/>
        </w:rPr>
        <w:t xml:space="preserve">ich </w:t>
      </w:r>
      <w:r w:rsidR="00CD0615" w:rsidRPr="00CD0615">
        <w:rPr>
          <w:lang w:val="en-GB"/>
        </w:rPr>
        <w:t>Latvia has agreements regarding recognition of dual citizenship</w:t>
      </w:r>
      <w:r w:rsidR="00467FE2">
        <w:rPr>
          <w:lang w:val="en-GB"/>
        </w:rPr>
        <w:t>.</w:t>
      </w:r>
      <w:r w:rsidR="00893843" w:rsidRPr="00893843">
        <w:rPr>
          <w:vertAlign w:val="superscript"/>
          <w:lang w:val="en-GB"/>
        </w:rPr>
        <w:footnoteReference w:id="33"/>
      </w:r>
    </w:p>
    <w:p w14:paraId="1B0096EF" w14:textId="32E28A1F" w:rsidR="00CD0615" w:rsidRDefault="00CD0615" w:rsidP="001514A4">
      <w:pPr>
        <w:pStyle w:val="MBT"/>
        <w:rPr>
          <w:lang w:val="en-GB"/>
        </w:rPr>
      </w:pPr>
    </w:p>
    <w:p w14:paraId="37D98F45" w14:textId="6A93664F" w:rsidR="00E40FE3" w:rsidRPr="004F43EF" w:rsidRDefault="00E40FE3" w:rsidP="001514A4">
      <w:pPr>
        <w:pStyle w:val="MBT"/>
        <w:rPr>
          <w:i/>
          <w:u w:val="single"/>
          <w:lang w:val="en-GB"/>
        </w:rPr>
      </w:pPr>
      <w:r w:rsidRPr="004F43EF">
        <w:rPr>
          <w:i/>
          <w:u w:val="single"/>
          <w:lang w:val="en-GB"/>
        </w:rPr>
        <w:t>Statistics and economic impact</w:t>
      </w:r>
    </w:p>
    <w:p w14:paraId="572CF2EA" w14:textId="401A621C" w:rsidR="00CD0615" w:rsidRPr="004F43EF" w:rsidRDefault="00CD0615" w:rsidP="00CD0615">
      <w:pPr>
        <w:spacing w:after="0" w:line="240" w:lineRule="auto"/>
        <w:jc w:val="both"/>
        <w:rPr>
          <w:sz w:val="22"/>
          <w:szCs w:val="22"/>
        </w:rPr>
      </w:pPr>
      <w:r w:rsidRPr="004F43EF">
        <w:rPr>
          <w:sz w:val="22"/>
          <w:szCs w:val="22"/>
        </w:rPr>
        <w:t xml:space="preserve">From 1 July 2010 to 30 June 2017 Latvia issued 17 342 temporary resident permits to investors and their family members. In 2014, when the number of applications reached </w:t>
      </w:r>
      <w:r w:rsidR="00467FE2" w:rsidRPr="004F43EF">
        <w:rPr>
          <w:sz w:val="22"/>
          <w:szCs w:val="22"/>
        </w:rPr>
        <w:t>its</w:t>
      </w:r>
      <w:r w:rsidRPr="004F43EF">
        <w:rPr>
          <w:sz w:val="22"/>
          <w:szCs w:val="22"/>
        </w:rPr>
        <w:t xml:space="preserve"> peak, 53 per cent of all the residence permits issued by Latvia were granted under the investors’ residence scheme</w:t>
      </w:r>
      <w:r w:rsidR="00467FE2" w:rsidRPr="004F43EF">
        <w:rPr>
          <w:sz w:val="22"/>
          <w:szCs w:val="22"/>
        </w:rPr>
        <w:t>.</w:t>
      </w:r>
      <w:r w:rsidR="00893843" w:rsidRPr="004F43EF">
        <w:rPr>
          <w:rStyle w:val="FootnoteReference"/>
          <w:sz w:val="22"/>
          <w:szCs w:val="22"/>
        </w:rPr>
        <w:footnoteReference w:id="34"/>
      </w:r>
    </w:p>
    <w:p w14:paraId="726FDFEF" w14:textId="77777777" w:rsidR="00CD0615" w:rsidRPr="004F43EF" w:rsidRDefault="00CD0615" w:rsidP="004F43EF">
      <w:pPr>
        <w:rPr>
          <w:sz w:val="22"/>
          <w:szCs w:val="22"/>
        </w:rPr>
      </w:pPr>
    </w:p>
    <w:tbl>
      <w:tblPr>
        <w:tblStyle w:val="TableGrid"/>
        <w:tblW w:w="4321" w:type="pct"/>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00"/>
        <w:gridCol w:w="1301"/>
        <w:gridCol w:w="1862"/>
        <w:gridCol w:w="1985"/>
        <w:gridCol w:w="1844"/>
      </w:tblGrid>
      <w:tr w:rsidR="00CD0615" w:rsidRPr="0085426F" w14:paraId="17926391" w14:textId="77777777" w:rsidTr="00FC569B">
        <w:trPr>
          <w:jc w:val="center"/>
        </w:trPr>
        <w:tc>
          <w:tcPr>
            <w:tcW w:w="513" w:type="pct"/>
            <w:shd w:val="clear" w:color="auto" w:fill="8EAADB" w:themeFill="accent1" w:themeFillTint="99"/>
          </w:tcPr>
          <w:p w14:paraId="48EEC75D" w14:textId="77777777" w:rsidR="00CD0615" w:rsidRPr="0085426F" w:rsidRDefault="00CD0615" w:rsidP="00FC569B">
            <w:pPr>
              <w:jc w:val="both"/>
              <w:rPr>
                <w:rFonts w:ascii="Century Gothic" w:hAnsi="Century Gothic"/>
                <w:b/>
                <w:sz w:val="16"/>
                <w:szCs w:val="16"/>
              </w:rPr>
            </w:pPr>
            <w:r w:rsidRPr="0085426F">
              <w:rPr>
                <w:rFonts w:ascii="Century Gothic" w:hAnsi="Century Gothic"/>
                <w:b/>
                <w:sz w:val="16"/>
                <w:szCs w:val="16"/>
              </w:rPr>
              <w:t>Year</w:t>
            </w:r>
          </w:p>
        </w:tc>
        <w:tc>
          <w:tcPr>
            <w:tcW w:w="835" w:type="pct"/>
            <w:shd w:val="clear" w:color="auto" w:fill="8EAADB" w:themeFill="accent1" w:themeFillTint="99"/>
          </w:tcPr>
          <w:p w14:paraId="0B631839" w14:textId="77777777" w:rsidR="00CD0615" w:rsidRPr="0085426F" w:rsidRDefault="00CD0615" w:rsidP="00FC569B">
            <w:pPr>
              <w:jc w:val="center"/>
              <w:rPr>
                <w:rFonts w:ascii="Century Gothic" w:hAnsi="Century Gothic"/>
                <w:b/>
                <w:sz w:val="16"/>
                <w:szCs w:val="16"/>
              </w:rPr>
            </w:pPr>
            <w:r w:rsidRPr="0085426F">
              <w:rPr>
                <w:rFonts w:ascii="Century Gothic" w:hAnsi="Century Gothic"/>
                <w:b/>
                <w:sz w:val="16"/>
                <w:szCs w:val="16"/>
              </w:rPr>
              <w:t>Total no. of all issued residence permits</w:t>
            </w:r>
          </w:p>
        </w:tc>
        <w:tc>
          <w:tcPr>
            <w:tcW w:w="1195" w:type="pct"/>
            <w:shd w:val="clear" w:color="auto" w:fill="8EAADB" w:themeFill="accent1" w:themeFillTint="99"/>
          </w:tcPr>
          <w:p w14:paraId="73A50996" w14:textId="77777777" w:rsidR="00CD0615" w:rsidRPr="0085426F" w:rsidRDefault="00CD0615" w:rsidP="00FC569B">
            <w:pPr>
              <w:jc w:val="center"/>
              <w:rPr>
                <w:rFonts w:ascii="Century Gothic" w:hAnsi="Century Gothic"/>
                <w:b/>
                <w:sz w:val="16"/>
                <w:szCs w:val="16"/>
              </w:rPr>
            </w:pPr>
            <w:r w:rsidRPr="0085426F">
              <w:rPr>
                <w:rFonts w:ascii="Century Gothic" w:hAnsi="Century Gothic"/>
                <w:b/>
                <w:sz w:val="16"/>
                <w:szCs w:val="16"/>
              </w:rPr>
              <w:t>No. of requests for residence by investors (family members)</w:t>
            </w:r>
          </w:p>
        </w:tc>
        <w:tc>
          <w:tcPr>
            <w:tcW w:w="1274" w:type="pct"/>
            <w:shd w:val="clear" w:color="auto" w:fill="8EAADB" w:themeFill="accent1" w:themeFillTint="99"/>
          </w:tcPr>
          <w:p w14:paraId="1D6DB941" w14:textId="77777777" w:rsidR="00CD0615" w:rsidRPr="0085426F" w:rsidRDefault="00CD0615" w:rsidP="00FC569B">
            <w:pPr>
              <w:jc w:val="center"/>
              <w:rPr>
                <w:rFonts w:ascii="Century Gothic" w:hAnsi="Century Gothic"/>
                <w:b/>
                <w:sz w:val="16"/>
                <w:szCs w:val="16"/>
              </w:rPr>
            </w:pPr>
            <w:r w:rsidRPr="0085426F">
              <w:rPr>
                <w:rFonts w:ascii="Century Gothic" w:hAnsi="Century Gothic"/>
                <w:b/>
                <w:sz w:val="16"/>
                <w:szCs w:val="16"/>
              </w:rPr>
              <w:t>No. of successful applications</w:t>
            </w:r>
          </w:p>
          <w:p w14:paraId="1568AC89" w14:textId="77777777" w:rsidR="00CD0615" w:rsidRPr="0085426F" w:rsidRDefault="00CD0615" w:rsidP="00FC569B">
            <w:pPr>
              <w:jc w:val="center"/>
              <w:rPr>
                <w:rFonts w:ascii="Century Gothic" w:hAnsi="Century Gothic"/>
                <w:b/>
                <w:sz w:val="16"/>
                <w:szCs w:val="16"/>
              </w:rPr>
            </w:pPr>
            <w:r w:rsidRPr="0085426F">
              <w:rPr>
                <w:rFonts w:ascii="Century Gothic" w:hAnsi="Century Gothic"/>
                <w:b/>
                <w:sz w:val="16"/>
                <w:szCs w:val="16"/>
              </w:rPr>
              <w:t>investors and family members</w:t>
            </w:r>
          </w:p>
        </w:tc>
        <w:tc>
          <w:tcPr>
            <w:tcW w:w="1183" w:type="pct"/>
            <w:shd w:val="clear" w:color="auto" w:fill="8EAADB" w:themeFill="accent1" w:themeFillTint="99"/>
          </w:tcPr>
          <w:p w14:paraId="6BAFC6E7" w14:textId="77777777" w:rsidR="00CD0615" w:rsidRPr="0085426F" w:rsidRDefault="00CD0615" w:rsidP="00FC569B">
            <w:pPr>
              <w:jc w:val="center"/>
              <w:rPr>
                <w:rFonts w:ascii="Century Gothic" w:hAnsi="Century Gothic"/>
                <w:b/>
                <w:sz w:val="16"/>
                <w:szCs w:val="16"/>
              </w:rPr>
            </w:pPr>
            <w:r w:rsidRPr="0085426F">
              <w:rPr>
                <w:rFonts w:ascii="Century Gothic" w:hAnsi="Century Gothic"/>
                <w:b/>
                <w:sz w:val="16"/>
                <w:szCs w:val="16"/>
              </w:rPr>
              <w:t>No. of turned down applications</w:t>
            </w:r>
          </w:p>
          <w:p w14:paraId="516E8287" w14:textId="77777777" w:rsidR="00CD0615" w:rsidRPr="0085426F" w:rsidRDefault="00CD0615" w:rsidP="00FC569B">
            <w:pPr>
              <w:jc w:val="center"/>
              <w:rPr>
                <w:rFonts w:ascii="Century Gothic" w:hAnsi="Century Gothic"/>
                <w:b/>
                <w:sz w:val="16"/>
                <w:szCs w:val="16"/>
              </w:rPr>
            </w:pPr>
            <w:r w:rsidRPr="0085426F">
              <w:rPr>
                <w:rFonts w:ascii="Century Gothic" w:hAnsi="Century Gothic"/>
                <w:b/>
                <w:sz w:val="16"/>
                <w:szCs w:val="16"/>
              </w:rPr>
              <w:t>investors and family members</w:t>
            </w:r>
          </w:p>
        </w:tc>
      </w:tr>
      <w:tr w:rsidR="00CD0615" w:rsidRPr="0085426F" w14:paraId="1EFD86F3" w14:textId="77777777" w:rsidTr="00FC569B">
        <w:trPr>
          <w:jc w:val="center"/>
        </w:trPr>
        <w:tc>
          <w:tcPr>
            <w:tcW w:w="513" w:type="pct"/>
            <w:shd w:val="clear" w:color="auto" w:fill="D9E2F3" w:themeFill="accent1" w:themeFillTint="33"/>
          </w:tcPr>
          <w:p w14:paraId="66026214" w14:textId="77777777" w:rsidR="00CD0615" w:rsidRPr="0085426F" w:rsidRDefault="00CD0615" w:rsidP="00FC569B">
            <w:pPr>
              <w:jc w:val="both"/>
              <w:rPr>
                <w:rFonts w:ascii="Century Gothic" w:hAnsi="Century Gothic"/>
                <w:sz w:val="16"/>
                <w:szCs w:val="16"/>
              </w:rPr>
            </w:pPr>
            <w:r w:rsidRPr="0085426F">
              <w:rPr>
                <w:rFonts w:ascii="Century Gothic" w:hAnsi="Century Gothic"/>
                <w:sz w:val="16"/>
                <w:szCs w:val="16"/>
              </w:rPr>
              <w:t>2012</w:t>
            </w:r>
          </w:p>
        </w:tc>
        <w:tc>
          <w:tcPr>
            <w:tcW w:w="835" w:type="pct"/>
            <w:shd w:val="clear" w:color="auto" w:fill="D9D9D9" w:themeFill="background1" w:themeFillShade="D9"/>
          </w:tcPr>
          <w:p w14:paraId="04798025" w14:textId="77777777" w:rsidR="00CD0615" w:rsidRPr="0085426F" w:rsidRDefault="00CD0615" w:rsidP="00FC569B">
            <w:pPr>
              <w:jc w:val="center"/>
              <w:rPr>
                <w:rFonts w:ascii="Century Gothic" w:hAnsi="Century Gothic"/>
                <w:sz w:val="16"/>
                <w:szCs w:val="16"/>
              </w:rPr>
            </w:pPr>
            <w:r w:rsidRPr="0085426F">
              <w:rPr>
                <w:rFonts w:ascii="Century Gothic" w:hAnsi="Century Gothic"/>
                <w:sz w:val="16"/>
                <w:szCs w:val="16"/>
              </w:rPr>
              <w:t>6365</w:t>
            </w:r>
          </w:p>
        </w:tc>
        <w:tc>
          <w:tcPr>
            <w:tcW w:w="1195" w:type="pct"/>
            <w:shd w:val="clear" w:color="auto" w:fill="D9D9D9" w:themeFill="background1" w:themeFillShade="D9"/>
          </w:tcPr>
          <w:p w14:paraId="4435CDFA" w14:textId="77777777" w:rsidR="00CD0615" w:rsidRPr="0085426F" w:rsidRDefault="00CD0615" w:rsidP="00FC569B">
            <w:pPr>
              <w:jc w:val="center"/>
              <w:rPr>
                <w:rFonts w:ascii="Century Gothic" w:hAnsi="Century Gothic"/>
                <w:sz w:val="16"/>
                <w:szCs w:val="16"/>
              </w:rPr>
            </w:pPr>
            <w:r w:rsidRPr="0085426F">
              <w:rPr>
                <w:rFonts w:ascii="Century Gothic" w:hAnsi="Century Gothic"/>
                <w:bCs/>
                <w:sz w:val="16"/>
                <w:szCs w:val="16"/>
              </w:rPr>
              <w:t>1 226 (</w:t>
            </w:r>
            <w:r w:rsidRPr="0085426F">
              <w:rPr>
                <w:rFonts w:ascii="Century Gothic" w:hAnsi="Century Gothic"/>
                <w:sz w:val="16"/>
                <w:szCs w:val="16"/>
              </w:rPr>
              <w:t>2918</w:t>
            </w:r>
            <w:r w:rsidRPr="0085426F">
              <w:rPr>
                <w:rFonts w:ascii="Century Gothic" w:hAnsi="Century Gothic"/>
                <w:bCs/>
                <w:sz w:val="16"/>
                <w:szCs w:val="16"/>
              </w:rPr>
              <w:t>)</w:t>
            </w:r>
          </w:p>
        </w:tc>
        <w:tc>
          <w:tcPr>
            <w:tcW w:w="1274" w:type="pct"/>
            <w:shd w:val="clear" w:color="auto" w:fill="D9D9D9" w:themeFill="background1" w:themeFillShade="D9"/>
          </w:tcPr>
          <w:p w14:paraId="5F2BD50C" w14:textId="77777777" w:rsidR="00CD0615" w:rsidRPr="0085426F" w:rsidRDefault="00CD0615" w:rsidP="00FC569B">
            <w:pPr>
              <w:jc w:val="center"/>
              <w:rPr>
                <w:rFonts w:ascii="Century Gothic" w:hAnsi="Century Gothic"/>
                <w:sz w:val="16"/>
                <w:szCs w:val="16"/>
              </w:rPr>
            </w:pPr>
            <w:r w:rsidRPr="0085426F">
              <w:rPr>
                <w:rFonts w:ascii="Century Gothic" w:hAnsi="Century Gothic"/>
                <w:sz w:val="16"/>
                <w:szCs w:val="16"/>
              </w:rPr>
              <w:t>2890</w:t>
            </w:r>
          </w:p>
        </w:tc>
        <w:tc>
          <w:tcPr>
            <w:tcW w:w="1183" w:type="pct"/>
            <w:shd w:val="clear" w:color="auto" w:fill="D9D9D9" w:themeFill="background1" w:themeFillShade="D9"/>
          </w:tcPr>
          <w:p w14:paraId="2F991669" w14:textId="77777777" w:rsidR="00CD0615" w:rsidRPr="0085426F" w:rsidRDefault="00CD0615" w:rsidP="00FC569B">
            <w:pPr>
              <w:jc w:val="center"/>
              <w:rPr>
                <w:rFonts w:ascii="Century Gothic" w:hAnsi="Century Gothic"/>
                <w:sz w:val="16"/>
                <w:szCs w:val="16"/>
              </w:rPr>
            </w:pPr>
            <w:r w:rsidRPr="0085426F">
              <w:rPr>
                <w:rFonts w:ascii="Century Gothic" w:hAnsi="Century Gothic"/>
                <w:sz w:val="16"/>
                <w:szCs w:val="16"/>
              </w:rPr>
              <w:t>18</w:t>
            </w:r>
          </w:p>
        </w:tc>
      </w:tr>
      <w:tr w:rsidR="00CD0615" w:rsidRPr="0085426F" w14:paraId="47F0F12F" w14:textId="77777777" w:rsidTr="00FC569B">
        <w:trPr>
          <w:jc w:val="center"/>
        </w:trPr>
        <w:tc>
          <w:tcPr>
            <w:tcW w:w="513" w:type="pct"/>
            <w:shd w:val="clear" w:color="auto" w:fill="D9E2F3" w:themeFill="accent1" w:themeFillTint="33"/>
          </w:tcPr>
          <w:p w14:paraId="7F2ED2B8" w14:textId="77777777" w:rsidR="00CD0615" w:rsidRPr="0085426F" w:rsidRDefault="00CD0615" w:rsidP="00FC569B">
            <w:pPr>
              <w:jc w:val="both"/>
              <w:rPr>
                <w:rFonts w:ascii="Century Gothic" w:hAnsi="Century Gothic"/>
                <w:sz w:val="16"/>
                <w:szCs w:val="16"/>
              </w:rPr>
            </w:pPr>
            <w:r w:rsidRPr="0085426F">
              <w:rPr>
                <w:rFonts w:ascii="Century Gothic" w:hAnsi="Century Gothic"/>
                <w:sz w:val="16"/>
                <w:szCs w:val="16"/>
              </w:rPr>
              <w:t>2013</w:t>
            </w:r>
          </w:p>
        </w:tc>
        <w:tc>
          <w:tcPr>
            <w:tcW w:w="835" w:type="pct"/>
            <w:shd w:val="clear" w:color="auto" w:fill="D9D9D9" w:themeFill="background1" w:themeFillShade="D9"/>
          </w:tcPr>
          <w:p w14:paraId="4256D0C2" w14:textId="77777777" w:rsidR="00CD0615" w:rsidRPr="0085426F" w:rsidRDefault="00CD0615" w:rsidP="00FC569B">
            <w:pPr>
              <w:jc w:val="center"/>
              <w:rPr>
                <w:rFonts w:ascii="Century Gothic" w:hAnsi="Century Gothic"/>
                <w:sz w:val="16"/>
                <w:szCs w:val="16"/>
              </w:rPr>
            </w:pPr>
            <w:r w:rsidRPr="0085426F">
              <w:rPr>
                <w:rFonts w:ascii="Century Gothic" w:hAnsi="Century Gothic"/>
                <w:sz w:val="16"/>
                <w:szCs w:val="16"/>
              </w:rPr>
              <w:t>8170</w:t>
            </w:r>
          </w:p>
        </w:tc>
        <w:tc>
          <w:tcPr>
            <w:tcW w:w="1195" w:type="pct"/>
            <w:shd w:val="clear" w:color="auto" w:fill="D9D9D9" w:themeFill="background1" w:themeFillShade="D9"/>
          </w:tcPr>
          <w:p w14:paraId="17937C52" w14:textId="77777777" w:rsidR="00CD0615" w:rsidRPr="0085426F" w:rsidRDefault="00CD0615" w:rsidP="00FC569B">
            <w:pPr>
              <w:jc w:val="center"/>
              <w:rPr>
                <w:rFonts w:ascii="Century Gothic" w:hAnsi="Century Gothic"/>
                <w:sz w:val="16"/>
                <w:szCs w:val="16"/>
              </w:rPr>
            </w:pPr>
            <w:r w:rsidRPr="0085426F">
              <w:rPr>
                <w:rFonts w:ascii="Century Gothic" w:hAnsi="Century Gothic"/>
                <w:bCs/>
                <w:sz w:val="16"/>
                <w:szCs w:val="16"/>
              </w:rPr>
              <w:t>1 922 (</w:t>
            </w:r>
            <w:r w:rsidRPr="0085426F">
              <w:rPr>
                <w:rFonts w:ascii="Century Gothic" w:hAnsi="Century Gothic"/>
                <w:sz w:val="16"/>
                <w:szCs w:val="16"/>
              </w:rPr>
              <w:t>4508</w:t>
            </w:r>
            <w:r w:rsidRPr="0085426F">
              <w:rPr>
                <w:rFonts w:ascii="Century Gothic" w:hAnsi="Century Gothic"/>
                <w:bCs/>
                <w:sz w:val="16"/>
                <w:szCs w:val="16"/>
              </w:rPr>
              <w:t>)</w:t>
            </w:r>
          </w:p>
        </w:tc>
        <w:tc>
          <w:tcPr>
            <w:tcW w:w="1274" w:type="pct"/>
            <w:shd w:val="clear" w:color="auto" w:fill="D9D9D9" w:themeFill="background1" w:themeFillShade="D9"/>
          </w:tcPr>
          <w:p w14:paraId="1015011A" w14:textId="77777777" w:rsidR="00CD0615" w:rsidRPr="0085426F" w:rsidRDefault="00CD0615" w:rsidP="00FC569B">
            <w:pPr>
              <w:jc w:val="center"/>
              <w:rPr>
                <w:rFonts w:ascii="Century Gothic" w:hAnsi="Century Gothic"/>
                <w:sz w:val="16"/>
                <w:szCs w:val="16"/>
              </w:rPr>
            </w:pPr>
            <w:r w:rsidRPr="0085426F">
              <w:rPr>
                <w:rFonts w:ascii="Century Gothic" w:hAnsi="Century Gothic"/>
                <w:sz w:val="16"/>
                <w:szCs w:val="16"/>
              </w:rPr>
              <w:t>4438</w:t>
            </w:r>
          </w:p>
        </w:tc>
        <w:tc>
          <w:tcPr>
            <w:tcW w:w="1183" w:type="pct"/>
            <w:shd w:val="clear" w:color="auto" w:fill="D9D9D9" w:themeFill="background1" w:themeFillShade="D9"/>
          </w:tcPr>
          <w:p w14:paraId="10D7F57A" w14:textId="77777777" w:rsidR="00CD0615" w:rsidRPr="0085426F" w:rsidRDefault="00CD0615" w:rsidP="00FC569B">
            <w:pPr>
              <w:jc w:val="center"/>
              <w:rPr>
                <w:rFonts w:ascii="Century Gothic" w:hAnsi="Century Gothic"/>
                <w:sz w:val="16"/>
                <w:szCs w:val="16"/>
              </w:rPr>
            </w:pPr>
            <w:r w:rsidRPr="0085426F">
              <w:rPr>
                <w:rFonts w:ascii="Century Gothic" w:hAnsi="Century Gothic"/>
                <w:sz w:val="16"/>
                <w:szCs w:val="16"/>
              </w:rPr>
              <w:t>29</w:t>
            </w:r>
          </w:p>
        </w:tc>
      </w:tr>
      <w:tr w:rsidR="00CD0615" w:rsidRPr="0085426F" w14:paraId="7F670E73" w14:textId="77777777" w:rsidTr="00FC569B">
        <w:trPr>
          <w:jc w:val="center"/>
        </w:trPr>
        <w:tc>
          <w:tcPr>
            <w:tcW w:w="513" w:type="pct"/>
            <w:shd w:val="clear" w:color="auto" w:fill="D9E2F3" w:themeFill="accent1" w:themeFillTint="33"/>
          </w:tcPr>
          <w:p w14:paraId="016163D5" w14:textId="77777777" w:rsidR="00CD0615" w:rsidRPr="0085426F" w:rsidRDefault="00CD0615" w:rsidP="00FC569B">
            <w:pPr>
              <w:jc w:val="both"/>
              <w:rPr>
                <w:rFonts w:ascii="Century Gothic" w:hAnsi="Century Gothic"/>
                <w:sz w:val="16"/>
                <w:szCs w:val="16"/>
              </w:rPr>
            </w:pPr>
            <w:r w:rsidRPr="0085426F">
              <w:rPr>
                <w:rFonts w:ascii="Century Gothic" w:hAnsi="Century Gothic"/>
                <w:sz w:val="16"/>
                <w:szCs w:val="16"/>
              </w:rPr>
              <w:t>2014</w:t>
            </w:r>
          </w:p>
        </w:tc>
        <w:tc>
          <w:tcPr>
            <w:tcW w:w="835" w:type="pct"/>
            <w:shd w:val="clear" w:color="auto" w:fill="D9D9D9" w:themeFill="background1" w:themeFillShade="D9"/>
          </w:tcPr>
          <w:p w14:paraId="103F87FF" w14:textId="77777777" w:rsidR="00CD0615" w:rsidRPr="0085426F" w:rsidRDefault="00CD0615" w:rsidP="00FC569B">
            <w:pPr>
              <w:jc w:val="center"/>
              <w:rPr>
                <w:rFonts w:ascii="Century Gothic" w:hAnsi="Century Gothic"/>
                <w:sz w:val="16"/>
                <w:szCs w:val="16"/>
              </w:rPr>
            </w:pPr>
            <w:r w:rsidRPr="0085426F">
              <w:rPr>
                <w:rFonts w:ascii="Century Gothic" w:hAnsi="Century Gothic"/>
                <w:sz w:val="16"/>
                <w:szCs w:val="16"/>
              </w:rPr>
              <w:t>10504</w:t>
            </w:r>
          </w:p>
        </w:tc>
        <w:tc>
          <w:tcPr>
            <w:tcW w:w="1195" w:type="pct"/>
            <w:shd w:val="clear" w:color="auto" w:fill="D9D9D9" w:themeFill="background1" w:themeFillShade="D9"/>
          </w:tcPr>
          <w:p w14:paraId="7050FC27" w14:textId="77777777" w:rsidR="00CD0615" w:rsidRPr="0085426F" w:rsidRDefault="00CD0615" w:rsidP="00FC569B">
            <w:pPr>
              <w:jc w:val="center"/>
              <w:rPr>
                <w:rFonts w:ascii="Century Gothic" w:hAnsi="Century Gothic"/>
                <w:sz w:val="16"/>
                <w:szCs w:val="16"/>
              </w:rPr>
            </w:pPr>
            <w:r w:rsidRPr="0085426F">
              <w:rPr>
                <w:rFonts w:ascii="Century Gothic" w:hAnsi="Century Gothic"/>
                <w:bCs/>
                <w:sz w:val="16"/>
                <w:szCs w:val="16"/>
              </w:rPr>
              <w:t>2 532 (</w:t>
            </w:r>
            <w:r w:rsidRPr="0085426F">
              <w:rPr>
                <w:rFonts w:ascii="Century Gothic" w:hAnsi="Century Gothic"/>
                <w:sz w:val="16"/>
                <w:szCs w:val="16"/>
              </w:rPr>
              <w:t>5944</w:t>
            </w:r>
            <w:r w:rsidRPr="0085426F">
              <w:rPr>
                <w:rFonts w:ascii="Century Gothic" w:hAnsi="Century Gothic"/>
                <w:bCs/>
                <w:sz w:val="16"/>
                <w:szCs w:val="16"/>
              </w:rPr>
              <w:t>)</w:t>
            </w:r>
          </w:p>
        </w:tc>
        <w:tc>
          <w:tcPr>
            <w:tcW w:w="1274" w:type="pct"/>
            <w:shd w:val="clear" w:color="auto" w:fill="D9D9D9" w:themeFill="background1" w:themeFillShade="D9"/>
          </w:tcPr>
          <w:p w14:paraId="6DE66A8D" w14:textId="77777777" w:rsidR="00CD0615" w:rsidRPr="0085426F" w:rsidRDefault="00CD0615" w:rsidP="00FC569B">
            <w:pPr>
              <w:jc w:val="center"/>
              <w:rPr>
                <w:rFonts w:ascii="Century Gothic" w:hAnsi="Century Gothic"/>
                <w:sz w:val="16"/>
                <w:szCs w:val="16"/>
              </w:rPr>
            </w:pPr>
            <w:r w:rsidRPr="0085426F">
              <w:rPr>
                <w:rFonts w:ascii="Century Gothic" w:hAnsi="Century Gothic"/>
                <w:sz w:val="16"/>
                <w:szCs w:val="16"/>
              </w:rPr>
              <w:t>5822</w:t>
            </w:r>
          </w:p>
        </w:tc>
        <w:tc>
          <w:tcPr>
            <w:tcW w:w="1183" w:type="pct"/>
            <w:shd w:val="clear" w:color="auto" w:fill="D9D9D9" w:themeFill="background1" w:themeFillShade="D9"/>
          </w:tcPr>
          <w:p w14:paraId="3B92878D" w14:textId="77777777" w:rsidR="00CD0615" w:rsidRPr="0085426F" w:rsidRDefault="00CD0615" w:rsidP="00FC569B">
            <w:pPr>
              <w:jc w:val="center"/>
              <w:rPr>
                <w:rFonts w:ascii="Century Gothic" w:hAnsi="Century Gothic"/>
                <w:sz w:val="16"/>
                <w:szCs w:val="16"/>
              </w:rPr>
            </w:pPr>
            <w:r w:rsidRPr="0085426F">
              <w:rPr>
                <w:rFonts w:ascii="Century Gothic" w:hAnsi="Century Gothic"/>
                <w:sz w:val="16"/>
                <w:szCs w:val="16"/>
              </w:rPr>
              <w:t>54</w:t>
            </w:r>
          </w:p>
        </w:tc>
      </w:tr>
      <w:tr w:rsidR="00CD0615" w:rsidRPr="0085426F" w14:paraId="21E79EA3" w14:textId="77777777" w:rsidTr="00FC569B">
        <w:trPr>
          <w:jc w:val="center"/>
        </w:trPr>
        <w:tc>
          <w:tcPr>
            <w:tcW w:w="513" w:type="pct"/>
            <w:shd w:val="clear" w:color="auto" w:fill="D9E2F3" w:themeFill="accent1" w:themeFillTint="33"/>
          </w:tcPr>
          <w:p w14:paraId="2FA25700" w14:textId="77777777" w:rsidR="00CD0615" w:rsidRPr="0085426F" w:rsidRDefault="00CD0615" w:rsidP="00FC569B">
            <w:pPr>
              <w:jc w:val="both"/>
              <w:rPr>
                <w:rFonts w:ascii="Century Gothic" w:hAnsi="Century Gothic"/>
                <w:sz w:val="16"/>
                <w:szCs w:val="16"/>
              </w:rPr>
            </w:pPr>
            <w:r w:rsidRPr="0085426F">
              <w:rPr>
                <w:rFonts w:ascii="Century Gothic" w:hAnsi="Century Gothic"/>
                <w:sz w:val="16"/>
                <w:szCs w:val="16"/>
              </w:rPr>
              <w:t>2015</w:t>
            </w:r>
          </w:p>
        </w:tc>
        <w:tc>
          <w:tcPr>
            <w:tcW w:w="835" w:type="pct"/>
            <w:shd w:val="clear" w:color="auto" w:fill="D9D9D9" w:themeFill="background1" w:themeFillShade="D9"/>
          </w:tcPr>
          <w:p w14:paraId="01F07358" w14:textId="77777777" w:rsidR="00CD0615" w:rsidRPr="0085426F" w:rsidRDefault="00CD0615" w:rsidP="00FC569B">
            <w:pPr>
              <w:jc w:val="center"/>
              <w:rPr>
                <w:rFonts w:ascii="Century Gothic" w:hAnsi="Century Gothic"/>
                <w:sz w:val="16"/>
                <w:szCs w:val="16"/>
              </w:rPr>
            </w:pPr>
            <w:r w:rsidRPr="0085426F">
              <w:rPr>
                <w:rFonts w:ascii="Century Gothic" w:hAnsi="Century Gothic"/>
                <w:sz w:val="16"/>
                <w:szCs w:val="16"/>
              </w:rPr>
              <w:t>7210</w:t>
            </w:r>
          </w:p>
        </w:tc>
        <w:tc>
          <w:tcPr>
            <w:tcW w:w="1195" w:type="pct"/>
            <w:shd w:val="clear" w:color="auto" w:fill="D9D9D9" w:themeFill="background1" w:themeFillShade="D9"/>
          </w:tcPr>
          <w:p w14:paraId="0085B05E" w14:textId="77777777" w:rsidR="00CD0615" w:rsidRPr="0085426F" w:rsidRDefault="00CD0615" w:rsidP="00FC569B">
            <w:pPr>
              <w:jc w:val="center"/>
              <w:rPr>
                <w:rFonts w:ascii="Century Gothic" w:hAnsi="Century Gothic"/>
                <w:sz w:val="16"/>
                <w:szCs w:val="16"/>
              </w:rPr>
            </w:pPr>
            <w:r w:rsidRPr="0085426F">
              <w:rPr>
                <w:rFonts w:ascii="Century Gothic" w:hAnsi="Century Gothic"/>
                <w:sz w:val="16"/>
                <w:szCs w:val="16"/>
              </w:rPr>
              <w:t>398 (1209)</w:t>
            </w:r>
          </w:p>
        </w:tc>
        <w:tc>
          <w:tcPr>
            <w:tcW w:w="1274" w:type="pct"/>
            <w:shd w:val="clear" w:color="auto" w:fill="D9D9D9" w:themeFill="background1" w:themeFillShade="D9"/>
          </w:tcPr>
          <w:p w14:paraId="23CBBEE0" w14:textId="77777777" w:rsidR="00CD0615" w:rsidRPr="0085426F" w:rsidRDefault="00CD0615" w:rsidP="00FC569B">
            <w:pPr>
              <w:jc w:val="center"/>
              <w:rPr>
                <w:rFonts w:ascii="Century Gothic" w:hAnsi="Century Gothic"/>
                <w:sz w:val="16"/>
                <w:szCs w:val="16"/>
              </w:rPr>
            </w:pPr>
            <w:r w:rsidRPr="0085426F">
              <w:rPr>
                <w:rFonts w:ascii="Century Gothic" w:hAnsi="Century Gothic"/>
                <w:sz w:val="16"/>
                <w:szCs w:val="16"/>
              </w:rPr>
              <w:t>1101</w:t>
            </w:r>
          </w:p>
        </w:tc>
        <w:tc>
          <w:tcPr>
            <w:tcW w:w="1183" w:type="pct"/>
            <w:shd w:val="clear" w:color="auto" w:fill="D9D9D9" w:themeFill="background1" w:themeFillShade="D9"/>
          </w:tcPr>
          <w:p w14:paraId="5A664EBD" w14:textId="77777777" w:rsidR="00CD0615" w:rsidRPr="0085426F" w:rsidRDefault="00CD0615" w:rsidP="00FC569B">
            <w:pPr>
              <w:jc w:val="center"/>
              <w:rPr>
                <w:rFonts w:ascii="Century Gothic" w:hAnsi="Century Gothic"/>
                <w:sz w:val="16"/>
                <w:szCs w:val="16"/>
              </w:rPr>
            </w:pPr>
            <w:r w:rsidRPr="0085426F">
              <w:rPr>
                <w:rFonts w:ascii="Century Gothic" w:hAnsi="Century Gothic"/>
                <w:sz w:val="16"/>
                <w:szCs w:val="16"/>
              </w:rPr>
              <w:t>30</w:t>
            </w:r>
          </w:p>
        </w:tc>
      </w:tr>
      <w:tr w:rsidR="00CD0615" w:rsidRPr="0085426F" w14:paraId="6BA69620" w14:textId="77777777" w:rsidTr="00FC569B">
        <w:trPr>
          <w:jc w:val="center"/>
        </w:trPr>
        <w:tc>
          <w:tcPr>
            <w:tcW w:w="513" w:type="pct"/>
            <w:shd w:val="clear" w:color="auto" w:fill="D9E2F3" w:themeFill="accent1" w:themeFillTint="33"/>
          </w:tcPr>
          <w:p w14:paraId="4DBD99A6" w14:textId="77777777" w:rsidR="00CD0615" w:rsidRPr="0085426F" w:rsidRDefault="00CD0615" w:rsidP="00FC569B">
            <w:pPr>
              <w:jc w:val="both"/>
              <w:rPr>
                <w:rFonts w:ascii="Century Gothic" w:hAnsi="Century Gothic"/>
                <w:sz w:val="16"/>
                <w:szCs w:val="16"/>
              </w:rPr>
            </w:pPr>
            <w:r w:rsidRPr="0085426F">
              <w:rPr>
                <w:rFonts w:ascii="Century Gothic" w:hAnsi="Century Gothic"/>
                <w:sz w:val="16"/>
                <w:szCs w:val="16"/>
              </w:rPr>
              <w:t>2016</w:t>
            </w:r>
          </w:p>
        </w:tc>
        <w:tc>
          <w:tcPr>
            <w:tcW w:w="835" w:type="pct"/>
            <w:shd w:val="clear" w:color="auto" w:fill="D9D9D9" w:themeFill="background1" w:themeFillShade="D9"/>
          </w:tcPr>
          <w:p w14:paraId="7DBC4540" w14:textId="77777777" w:rsidR="00CD0615" w:rsidRPr="0085426F" w:rsidRDefault="00CD0615" w:rsidP="00FC569B">
            <w:pPr>
              <w:jc w:val="center"/>
              <w:rPr>
                <w:rFonts w:ascii="Century Gothic" w:hAnsi="Century Gothic"/>
                <w:sz w:val="16"/>
                <w:szCs w:val="16"/>
              </w:rPr>
            </w:pPr>
            <w:r w:rsidRPr="0085426F">
              <w:rPr>
                <w:rFonts w:ascii="Century Gothic" w:hAnsi="Century Gothic"/>
                <w:sz w:val="16"/>
                <w:szCs w:val="16"/>
              </w:rPr>
              <w:t>6581</w:t>
            </w:r>
          </w:p>
        </w:tc>
        <w:tc>
          <w:tcPr>
            <w:tcW w:w="1195" w:type="pct"/>
            <w:shd w:val="clear" w:color="auto" w:fill="D9D9D9" w:themeFill="background1" w:themeFillShade="D9"/>
          </w:tcPr>
          <w:p w14:paraId="3AB9A12F" w14:textId="77777777" w:rsidR="00CD0615" w:rsidRPr="0085426F" w:rsidRDefault="00CD0615" w:rsidP="00FC569B">
            <w:pPr>
              <w:jc w:val="center"/>
              <w:rPr>
                <w:rFonts w:ascii="Century Gothic" w:hAnsi="Century Gothic"/>
                <w:sz w:val="16"/>
                <w:szCs w:val="16"/>
              </w:rPr>
            </w:pPr>
            <w:r w:rsidRPr="0085426F">
              <w:rPr>
                <w:rFonts w:ascii="Century Gothic" w:hAnsi="Century Gothic"/>
                <w:sz w:val="16"/>
                <w:szCs w:val="16"/>
              </w:rPr>
              <w:t>262 (763)</w:t>
            </w:r>
          </w:p>
        </w:tc>
        <w:tc>
          <w:tcPr>
            <w:tcW w:w="1274" w:type="pct"/>
            <w:shd w:val="clear" w:color="auto" w:fill="D9D9D9" w:themeFill="background1" w:themeFillShade="D9"/>
          </w:tcPr>
          <w:p w14:paraId="7E696881" w14:textId="77777777" w:rsidR="00CD0615" w:rsidRPr="0085426F" w:rsidRDefault="00CD0615" w:rsidP="00FC569B">
            <w:pPr>
              <w:jc w:val="center"/>
              <w:rPr>
                <w:rFonts w:ascii="Century Gothic" w:hAnsi="Century Gothic"/>
                <w:sz w:val="16"/>
                <w:szCs w:val="16"/>
              </w:rPr>
            </w:pPr>
            <w:r w:rsidRPr="0085426F">
              <w:rPr>
                <w:rFonts w:ascii="Century Gothic" w:hAnsi="Century Gothic"/>
                <w:sz w:val="16"/>
                <w:szCs w:val="16"/>
              </w:rPr>
              <w:t>692</w:t>
            </w:r>
          </w:p>
        </w:tc>
        <w:tc>
          <w:tcPr>
            <w:tcW w:w="1183" w:type="pct"/>
            <w:shd w:val="clear" w:color="auto" w:fill="D9D9D9" w:themeFill="background1" w:themeFillShade="D9"/>
          </w:tcPr>
          <w:p w14:paraId="2CDB144D" w14:textId="77777777" w:rsidR="00CD0615" w:rsidRPr="0085426F" w:rsidRDefault="00CD0615" w:rsidP="00FC569B">
            <w:pPr>
              <w:jc w:val="center"/>
              <w:rPr>
                <w:rFonts w:ascii="Century Gothic" w:hAnsi="Century Gothic"/>
                <w:sz w:val="16"/>
                <w:szCs w:val="16"/>
              </w:rPr>
            </w:pPr>
            <w:r w:rsidRPr="0085426F">
              <w:rPr>
                <w:rFonts w:ascii="Century Gothic" w:hAnsi="Century Gothic"/>
                <w:sz w:val="16"/>
                <w:szCs w:val="16"/>
              </w:rPr>
              <w:t>13</w:t>
            </w:r>
          </w:p>
        </w:tc>
      </w:tr>
      <w:tr w:rsidR="00CD0615" w:rsidRPr="0085426F" w14:paraId="21A88233" w14:textId="77777777" w:rsidTr="00FC569B">
        <w:trPr>
          <w:jc w:val="center"/>
        </w:trPr>
        <w:tc>
          <w:tcPr>
            <w:tcW w:w="513" w:type="pct"/>
            <w:shd w:val="clear" w:color="auto" w:fill="D9E2F3" w:themeFill="accent1" w:themeFillTint="33"/>
          </w:tcPr>
          <w:p w14:paraId="70DA46C1" w14:textId="77777777" w:rsidR="00CD0615" w:rsidRPr="0085426F" w:rsidRDefault="00CD0615" w:rsidP="00FC569B">
            <w:pPr>
              <w:jc w:val="both"/>
              <w:rPr>
                <w:rFonts w:ascii="Century Gothic" w:hAnsi="Century Gothic"/>
                <w:sz w:val="16"/>
                <w:szCs w:val="16"/>
              </w:rPr>
            </w:pPr>
            <w:r w:rsidRPr="0085426F">
              <w:rPr>
                <w:rFonts w:ascii="Century Gothic" w:hAnsi="Century Gothic"/>
                <w:sz w:val="16"/>
                <w:szCs w:val="16"/>
              </w:rPr>
              <w:t>2017</w:t>
            </w:r>
          </w:p>
        </w:tc>
        <w:tc>
          <w:tcPr>
            <w:tcW w:w="835" w:type="pct"/>
            <w:shd w:val="clear" w:color="auto" w:fill="D9D9D9" w:themeFill="background1" w:themeFillShade="D9"/>
          </w:tcPr>
          <w:p w14:paraId="00D94125" w14:textId="77777777" w:rsidR="00CD0615" w:rsidRPr="0085426F" w:rsidRDefault="00CD0615" w:rsidP="00FC569B">
            <w:pPr>
              <w:jc w:val="center"/>
              <w:rPr>
                <w:rFonts w:ascii="Century Gothic" w:hAnsi="Century Gothic"/>
                <w:sz w:val="16"/>
                <w:szCs w:val="16"/>
              </w:rPr>
            </w:pPr>
            <w:r w:rsidRPr="0085426F">
              <w:rPr>
                <w:rFonts w:ascii="Century Gothic" w:hAnsi="Century Gothic"/>
                <w:sz w:val="16"/>
                <w:szCs w:val="16"/>
              </w:rPr>
              <w:t>7191</w:t>
            </w:r>
          </w:p>
        </w:tc>
        <w:tc>
          <w:tcPr>
            <w:tcW w:w="1195" w:type="pct"/>
            <w:shd w:val="clear" w:color="auto" w:fill="D9D9D9" w:themeFill="background1" w:themeFillShade="D9"/>
          </w:tcPr>
          <w:p w14:paraId="29A4D2A1" w14:textId="77777777" w:rsidR="00CD0615" w:rsidRPr="0085426F" w:rsidRDefault="00CD0615" w:rsidP="00FC569B">
            <w:pPr>
              <w:jc w:val="center"/>
              <w:rPr>
                <w:rFonts w:ascii="Century Gothic" w:hAnsi="Century Gothic"/>
                <w:sz w:val="16"/>
                <w:szCs w:val="16"/>
              </w:rPr>
            </w:pPr>
            <w:r w:rsidRPr="0085426F">
              <w:rPr>
                <w:rFonts w:ascii="Century Gothic" w:hAnsi="Century Gothic"/>
                <w:sz w:val="16"/>
                <w:szCs w:val="16"/>
              </w:rPr>
              <w:t>64 (225)</w:t>
            </w:r>
          </w:p>
        </w:tc>
        <w:tc>
          <w:tcPr>
            <w:tcW w:w="1274" w:type="pct"/>
            <w:shd w:val="clear" w:color="auto" w:fill="D9D9D9" w:themeFill="background1" w:themeFillShade="D9"/>
          </w:tcPr>
          <w:p w14:paraId="33312815" w14:textId="77777777" w:rsidR="00CD0615" w:rsidRPr="0085426F" w:rsidRDefault="00CD0615" w:rsidP="00FC569B">
            <w:pPr>
              <w:jc w:val="center"/>
              <w:rPr>
                <w:rFonts w:ascii="Century Gothic" w:hAnsi="Century Gothic"/>
                <w:sz w:val="16"/>
                <w:szCs w:val="16"/>
              </w:rPr>
            </w:pPr>
            <w:r w:rsidRPr="0085426F">
              <w:rPr>
                <w:rFonts w:ascii="Century Gothic" w:hAnsi="Century Gothic"/>
                <w:sz w:val="16"/>
                <w:szCs w:val="16"/>
              </w:rPr>
              <w:t>161</w:t>
            </w:r>
          </w:p>
        </w:tc>
        <w:tc>
          <w:tcPr>
            <w:tcW w:w="1183" w:type="pct"/>
            <w:shd w:val="clear" w:color="auto" w:fill="D9D9D9" w:themeFill="background1" w:themeFillShade="D9"/>
          </w:tcPr>
          <w:p w14:paraId="7FDB7871" w14:textId="77777777" w:rsidR="00CD0615" w:rsidRPr="0085426F" w:rsidRDefault="00CD0615" w:rsidP="00FC569B">
            <w:pPr>
              <w:jc w:val="center"/>
              <w:rPr>
                <w:rFonts w:ascii="Century Gothic" w:hAnsi="Century Gothic"/>
                <w:sz w:val="16"/>
                <w:szCs w:val="16"/>
              </w:rPr>
            </w:pPr>
            <w:r w:rsidRPr="0085426F">
              <w:rPr>
                <w:rFonts w:ascii="Century Gothic" w:hAnsi="Century Gothic"/>
                <w:sz w:val="16"/>
                <w:szCs w:val="16"/>
              </w:rPr>
              <w:t>0</w:t>
            </w:r>
          </w:p>
        </w:tc>
      </w:tr>
    </w:tbl>
    <w:p w14:paraId="5897930D" w14:textId="77777777" w:rsidR="00CD0615" w:rsidRPr="001514A4" w:rsidRDefault="00CD0615" w:rsidP="00CD0615">
      <w:pPr>
        <w:pStyle w:val="NormalWeb"/>
        <w:spacing w:before="0" w:beforeAutospacing="0" w:after="0" w:afterAutospacing="0"/>
        <w:jc w:val="both"/>
        <w:rPr>
          <w:b/>
          <w:i/>
          <w:color w:val="2E74B5" w:themeColor="accent5" w:themeShade="BF"/>
          <w:sz w:val="22"/>
          <w:szCs w:val="22"/>
          <w:lang w:val="en-GB"/>
        </w:rPr>
      </w:pPr>
    </w:p>
    <w:p w14:paraId="49F14039" w14:textId="120C18DF" w:rsidR="00CD0615" w:rsidRPr="001514A4" w:rsidRDefault="00CD0615" w:rsidP="00CD0615">
      <w:pPr>
        <w:pStyle w:val="NormalWeb"/>
        <w:spacing w:before="0" w:beforeAutospacing="0" w:after="0" w:afterAutospacing="0"/>
        <w:jc w:val="both"/>
        <w:rPr>
          <w:sz w:val="22"/>
          <w:szCs w:val="22"/>
          <w:lang w:val="en-GB"/>
        </w:rPr>
      </w:pPr>
      <w:r w:rsidRPr="001514A4">
        <w:rPr>
          <w:sz w:val="22"/>
          <w:szCs w:val="22"/>
          <w:lang w:val="en-GB"/>
        </w:rPr>
        <w:t>After 2014 there was a sharp decrease in requests for residence permits from foreign investors. This is because the Immigration Law was amended that year by making the rules of the residence scheme stricter (that is, by increasing the minimum investment levels and introducing other charges).</w:t>
      </w:r>
      <w:r w:rsidR="00101BE1">
        <w:rPr>
          <w:sz w:val="22"/>
          <w:szCs w:val="22"/>
          <w:lang w:val="en-GB"/>
        </w:rPr>
        <w:t xml:space="preserve"> T</w:t>
      </w:r>
      <w:r w:rsidR="00101BE1" w:rsidRPr="00101BE1">
        <w:rPr>
          <w:sz w:val="22"/>
          <w:szCs w:val="22"/>
          <w:lang w:val="en-GB"/>
        </w:rPr>
        <w:t xml:space="preserve">he programme </w:t>
      </w:r>
      <w:r w:rsidR="00101BE1">
        <w:rPr>
          <w:sz w:val="22"/>
          <w:szCs w:val="22"/>
          <w:lang w:val="en-GB"/>
        </w:rPr>
        <w:t>as well as the Immigration Law were reviewed f</w:t>
      </w:r>
      <w:r w:rsidR="00101BE1" w:rsidRPr="00101BE1">
        <w:rPr>
          <w:sz w:val="22"/>
          <w:szCs w:val="22"/>
          <w:lang w:val="en-GB"/>
        </w:rPr>
        <w:t>ollowing the annexation of Crimea by Russia in</w:t>
      </w:r>
      <w:r w:rsidR="00101BE1">
        <w:rPr>
          <w:sz w:val="22"/>
          <w:szCs w:val="22"/>
          <w:lang w:val="en-GB"/>
        </w:rPr>
        <w:t xml:space="preserve"> March 2014. H</w:t>
      </w:r>
      <w:r w:rsidR="00101BE1" w:rsidRPr="00101BE1">
        <w:rPr>
          <w:sz w:val="22"/>
          <w:szCs w:val="22"/>
          <w:lang w:val="en-GB"/>
        </w:rPr>
        <w:t xml:space="preserve">igher ceilings for investments were set for obtaining </w:t>
      </w:r>
      <w:r w:rsidR="00467FE2">
        <w:rPr>
          <w:sz w:val="22"/>
          <w:szCs w:val="22"/>
          <w:lang w:val="en-GB"/>
        </w:rPr>
        <w:t xml:space="preserve">a </w:t>
      </w:r>
      <w:r w:rsidR="00101BE1" w:rsidRPr="00101BE1">
        <w:rPr>
          <w:sz w:val="22"/>
          <w:szCs w:val="22"/>
          <w:lang w:val="en-GB"/>
        </w:rPr>
        <w:t>long-term residence permit. T</w:t>
      </w:r>
      <w:r w:rsidR="00467FE2">
        <w:rPr>
          <w:sz w:val="22"/>
          <w:szCs w:val="22"/>
          <w:lang w:val="en-GB"/>
        </w:rPr>
        <w:t>he t</w:t>
      </w:r>
      <w:r w:rsidR="00101BE1" w:rsidRPr="00101BE1">
        <w:rPr>
          <w:sz w:val="22"/>
          <w:szCs w:val="22"/>
          <w:lang w:val="en-GB"/>
        </w:rPr>
        <w:t xml:space="preserve">hreshold for the real estate property was increased from EUR 70 000.00 to EUR 250 000.00. </w:t>
      </w:r>
      <w:r w:rsidR="00101BE1">
        <w:rPr>
          <w:sz w:val="22"/>
          <w:szCs w:val="22"/>
          <w:lang w:val="en-GB"/>
        </w:rPr>
        <w:t>Changes in the program</w:t>
      </w:r>
      <w:r w:rsidR="00467FE2">
        <w:rPr>
          <w:sz w:val="22"/>
          <w:szCs w:val="22"/>
          <w:lang w:val="en-GB"/>
        </w:rPr>
        <w:t>me</w:t>
      </w:r>
      <w:r w:rsidR="00101BE1">
        <w:rPr>
          <w:sz w:val="22"/>
          <w:szCs w:val="22"/>
          <w:lang w:val="en-GB"/>
        </w:rPr>
        <w:t xml:space="preserve"> and the law proved to be successful for decreasing the number of applicants.</w:t>
      </w:r>
    </w:p>
    <w:p w14:paraId="4A7E9E16" w14:textId="76838FB9" w:rsidR="009044C3" w:rsidRPr="001514A4" w:rsidRDefault="009044C3" w:rsidP="001514A4">
      <w:pPr>
        <w:pStyle w:val="MBT"/>
        <w:rPr>
          <w:lang w:val="en-GB"/>
        </w:rPr>
      </w:pPr>
    </w:p>
    <w:p w14:paraId="094404DC" w14:textId="7522DE34" w:rsidR="009044C3" w:rsidRPr="001514A4" w:rsidRDefault="009044C3" w:rsidP="001514A4">
      <w:pPr>
        <w:pStyle w:val="MBT"/>
      </w:pPr>
      <w:r w:rsidRPr="001514A4">
        <w:rPr>
          <w:lang w:val="en-GB"/>
        </w:rPr>
        <w:t xml:space="preserve">The OCMA reports on the economic impact and financial revenues related to the residence scheme for investors. </w:t>
      </w:r>
      <w:r w:rsidRPr="001514A4">
        <w:t xml:space="preserve">From 1 July 2010 to 30 June 2017 non-resident investments from persons granted temporary residence permits have provided </w:t>
      </w:r>
      <w:r w:rsidRPr="001514A4">
        <w:rPr>
          <w:b/>
        </w:rPr>
        <w:t>EUR 1.434 billion</w:t>
      </w:r>
      <w:r w:rsidRPr="001514A4">
        <w:t xml:space="preserve"> contribution</w:t>
      </w:r>
      <w:r w:rsidR="000E32F3" w:rsidRPr="001514A4">
        <w:t xml:space="preserve"> to</w:t>
      </w:r>
      <w:r w:rsidR="0085426F">
        <w:t xml:space="preserve"> Latvia’s</w:t>
      </w:r>
      <w:r w:rsidRPr="001514A4">
        <w:t xml:space="preserve"> economy. </w:t>
      </w:r>
      <w:r w:rsidR="00101BE1">
        <w:t>Based on the sta</w:t>
      </w:r>
      <w:r w:rsidR="00197D58">
        <w:t>tistics provided by OCMA,</w:t>
      </w:r>
      <w:r w:rsidR="004F43EF">
        <w:rPr>
          <w:rStyle w:val="FootnoteReference"/>
        </w:rPr>
        <w:footnoteReference w:id="35"/>
      </w:r>
      <w:r w:rsidR="00197D58">
        <w:t xml:space="preserve"> this number reflects direct contribution. No explanation as to how the assessment and calculation was made, is available. </w:t>
      </w:r>
      <w:r w:rsidRPr="001514A4">
        <w:t>The companies in whose equity capital investment was made or in which an investor occupied an official position</w:t>
      </w:r>
      <w:r w:rsidR="000E32F3" w:rsidRPr="001514A4">
        <w:t xml:space="preserve"> </w:t>
      </w:r>
      <w:r w:rsidRPr="001514A4">
        <w:t xml:space="preserve">paid </w:t>
      </w:r>
      <w:r w:rsidRPr="001514A4">
        <w:rPr>
          <w:b/>
        </w:rPr>
        <w:t>EUR 176.8 million in taxes</w:t>
      </w:r>
      <w:r w:rsidRPr="001514A4">
        <w:t xml:space="preserve"> in 2016</w:t>
      </w:r>
      <w:r w:rsidR="000E32F3" w:rsidRPr="001514A4">
        <w:t xml:space="preserve"> (the </w:t>
      </w:r>
      <w:r w:rsidRPr="001514A4">
        <w:t>total corporate income tax revenue in 2016 was EUR 424.2 million</w:t>
      </w:r>
      <w:r w:rsidR="000E32F3" w:rsidRPr="001514A4">
        <w:t>)</w:t>
      </w:r>
      <w:r w:rsidR="0085426F">
        <w:t>.</w:t>
      </w:r>
      <w:r w:rsidR="00893843" w:rsidRPr="00893843">
        <w:rPr>
          <w:vertAlign w:val="superscript"/>
          <w:lang w:val="fr-FR"/>
        </w:rPr>
        <w:footnoteReference w:id="36"/>
      </w:r>
    </w:p>
    <w:p w14:paraId="429656FE" w14:textId="77777777" w:rsidR="009044C3" w:rsidRPr="001514A4" w:rsidRDefault="009044C3" w:rsidP="001514A4">
      <w:pPr>
        <w:pStyle w:val="MBT"/>
        <w:rPr>
          <w:lang w:val="en-GB"/>
        </w:rPr>
      </w:pPr>
    </w:p>
    <w:p w14:paraId="323FD020" w14:textId="7DECC9F1" w:rsidR="00E84350" w:rsidRPr="001514A4" w:rsidRDefault="00E84350" w:rsidP="001514A4">
      <w:pPr>
        <w:pStyle w:val="MBT"/>
        <w:rPr>
          <w:lang w:val="en-GB"/>
        </w:rPr>
      </w:pPr>
      <w:r w:rsidRPr="001514A4">
        <w:rPr>
          <w:lang w:val="en-GB"/>
        </w:rPr>
        <w:lastRenderedPageBreak/>
        <w:t>Due to</w:t>
      </w:r>
      <w:r w:rsidR="000E32F3" w:rsidRPr="001514A4">
        <w:rPr>
          <w:lang w:val="en-GB"/>
        </w:rPr>
        <w:t xml:space="preserve"> 2014</w:t>
      </w:r>
      <w:r w:rsidRPr="001514A4">
        <w:rPr>
          <w:lang w:val="en-GB"/>
        </w:rPr>
        <w:t xml:space="preserve"> </w:t>
      </w:r>
      <w:r w:rsidR="000E32F3" w:rsidRPr="001514A4">
        <w:rPr>
          <w:lang w:val="en-GB"/>
        </w:rPr>
        <w:t>amendments in the Immigration Law</w:t>
      </w:r>
      <w:r w:rsidRPr="001514A4">
        <w:rPr>
          <w:lang w:val="en-GB"/>
        </w:rPr>
        <w:t xml:space="preserve">, and the stabilisation of the economic environment, there has been a </w:t>
      </w:r>
      <w:r w:rsidRPr="001514A4">
        <w:rPr>
          <w:b/>
          <w:lang w:val="en-GB"/>
        </w:rPr>
        <w:t>sharp decrease in investment</w:t>
      </w:r>
      <w:r w:rsidRPr="001514A4">
        <w:rPr>
          <w:lang w:val="en-GB"/>
        </w:rPr>
        <w:t xml:space="preserve"> attracted through the scheme. </w:t>
      </w:r>
      <w:r w:rsidR="00197D58">
        <w:rPr>
          <w:lang w:val="en-GB"/>
        </w:rPr>
        <w:t>T</w:t>
      </w:r>
      <w:r w:rsidR="00197D58" w:rsidRPr="00197D58">
        <w:rPr>
          <w:lang w:val="en-GB"/>
        </w:rPr>
        <w:t xml:space="preserve">he average investors in 2008 and 2009 were middle-class Russian men whose profession did not require presence in an office, such as IT. Given the relatively low threshold of investment, </w:t>
      </w:r>
      <w:r w:rsidR="00197D58">
        <w:rPr>
          <w:lang w:val="en-GB"/>
        </w:rPr>
        <w:t xml:space="preserve">this scheme was affordable </w:t>
      </w:r>
      <w:r w:rsidR="0085426F">
        <w:rPr>
          <w:lang w:val="en-GB"/>
        </w:rPr>
        <w:t>for such investors</w:t>
      </w:r>
      <w:r w:rsidR="00197D58">
        <w:rPr>
          <w:lang w:val="en-GB"/>
        </w:rPr>
        <w:t>. Considering the fact that that the investment thresholds were raised and as a consequence – the applications for the scheme decreased, it can be assumed that the scheme will cease to exist</w:t>
      </w:r>
      <w:r w:rsidR="0085426F">
        <w:rPr>
          <w:lang w:val="en-GB"/>
        </w:rPr>
        <w:t xml:space="preserve"> if no further changes are made</w:t>
      </w:r>
      <w:r w:rsidR="00197D58" w:rsidRPr="00197D58">
        <w:rPr>
          <w:lang w:val="en-GB"/>
        </w:rPr>
        <w:t>.</w:t>
      </w:r>
      <w:r w:rsidR="00197D58">
        <w:rPr>
          <w:lang w:val="en-GB"/>
        </w:rPr>
        <w:t xml:space="preserve"> </w:t>
      </w:r>
      <w:r w:rsidR="000E32F3" w:rsidRPr="001514A4">
        <w:rPr>
          <w:lang w:val="en-GB"/>
        </w:rPr>
        <w:t>I</w:t>
      </w:r>
      <w:r w:rsidRPr="001514A4">
        <w:rPr>
          <w:lang w:val="en-GB"/>
        </w:rPr>
        <w:t>nvestments in Latvia grow without investors taking part in the Latvian investors’ residence scheme</w:t>
      </w:r>
      <w:r w:rsidR="0085426F">
        <w:rPr>
          <w:lang w:val="en-GB"/>
        </w:rPr>
        <w:t>.</w:t>
      </w:r>
      <w:r w:rsidR="00893843" w:rsidRPr="00893843">
        <w:rPr>
          <w:vertAlign w:val="superscript"/>
          <w:lang w:val="en-GB"/>
        </w:rPr>
        <w:footnoteReference w:id="37"/>
      </w:r>
      <w:r w:rsidRPr="001514A4">
        <w:rPr>
          <w:lang w:val="en-GB"/>
        </w:rPr>
        <w:t xml:space="preserve"> </w:t>
      </w:r>
    </w:p>
    <w:p w14:paraId="55202474" w14:textId="77777777" w:rsidR="00E84350" w:rsidRPr="001514A4" w:rsidRDefault="00E84350" w:rsidP="001514A4">
      <w:pPr>
        <w:pStyle w:val="MBT"/>
        <w:rPr>
          <w:lang w:val="en-GB"/>
        </w:rPr>
      </w:pPr>
    </w:p>
    <w:p w14:paraId="6E510AC5" w14:textId="1B869137" w:rsidR="00520C4C" w:rsidRPr="001514A4" w:rsidRDefault="000E22A7" w:rsidP="001514A4">
      <w:pPr>
        <w:pStyle w:val="MBT"/>
        <w:rPr>
          <w:lang w:val="en-GB"/>
        </w:rPr>
      </w:pPr>
      <w:r w:rsidRPr="001514A4">
        <w:rPr>
          <w:lang w:val="en-GB"/>
        </w:rPr>
        <w:t>The</w:t>
      </w:r>
      <w:r w:rsidR="00E84350" w:rsidRPr="001514A4">
        <w:rPr>
          <w:lang w:val="en-GB"/>
        </w:rPr>
        <w:t xml:space="preserve"> Latvian investors’ residence scheme contributed to the growth and recovery of the Latvian economy in the aftermath of the 2008 financial crisis. Yet, it mainly activated the </w:t>
      </w:r>
      <w:r w:rsidR="00E84350" w:rsidRPr="001514A4">
        <w:rPr>
          <w:b/>
          <w:lang w:val="en-GB"/>
        </w:rPr>
        <w:t>real estate market</w:t>
      </w:r>
      <w:r w:rsidR="00E84350" w:rsidRPr="001514A4">
        <w:rPr>
          <w:lang w:val="en-GB"/>
        </w:rPr>
        <w:t xml:space="preserve"> and attracted less investment in equity capital of capital companies</w:t>
      </w:r>
      <w:r w:rsidR="0085426F">
        <w:rPr>
          <w:lang w:val="en-GB"/>
        </w:rPr>
        <w:t>,</w:t>
      </w:r>
      <w:r w:rsidR="00197D58">
        <w:rPr>
          <w:rStyle w:val="FootnoteReference"/>
          <w:lang w:val="en-GB"/>
        </w:rPr>
        <w:footnoteReference w:id="38"/>
      </w:r>
      <w:r w:rsidR="00E84350" w:rsidRPr="001514A4">
        <w:rPr>
          <w:lang w:val="en-GB"/>
        </w:rPr>
        <w:t xml:space="preserve"> </w:t>
      </w:r>
      <w:r w:rsidR="00945DB9" w:rsidRPr="001514A4">
        <w:rPr>
          <w:lang w:val="en-GB"/>
        </w:rPr>
        <w:t>which</w:t>
      </w:r>
      <w:r w:rsidR="00E84350" w:rsidRPr="001514A4">
        <w:rPr>
          <w:lang w:val="en-GB"/>
        </w:rPr>
        <w:t xml:space="preserve"> would have contributed more to the competitiveness of Latvian companies and the creation of jobs</w:t>
      </w:r>
      <w:r w:rsidR="00E84350" w:rsidRPr="001514A4">
        <w:rPr>
          <w:bCs w:val="0"/>
          <w:lang w:val="en-GB"/>
        </w:rPr>
        <w:t xml:space="preserve">. </w:t>
      </w:r>
      <w:r w:rsidR="00520C4C" w:rsidRPr="001514A4">
        <w:rPr>
          <w:bCs w:val="0"/>
          <w:lang w:val="en-GB"/>
        </w:rPr>
        <w:t xml:space="preserve">Thus, the Latvian investors’ scheme has been </w:t>
      </w:r>
      <w:r w:rsidR="00520C4C" w:rsidRPr="001514A4">
        <w:rPr>
          <w:b/>
          <w:bCs w:val="0"/>
          <w:lang w:val="en-GB"/>
        </w:rPr>
        <w:t>a partial success</w:t>
      </w:r>
      <w:r w:rsidR="00520C4C" w:rsidRPr="001514A4">
        <w:rPr>
          <w:bCs w:val="0"/>
          <w:lang w:val="en-GB"/>
        </w:rPr>
        <w:t>.</w:t>
      </w:r>
    </w:p>
    <w:sectPr w:rsidR="00520C4C" w:rsidRPr="001514A4" w:rsidSect="00E40FE3">
      <w:footerReference w:type="default" r:id="rId8"/>
      <w:pgSz w:w="11906" w:h="16838"/>
      <w:pgMar w:top="1440" w:right="1440" w:bottom="1440" w:left="1440" w:header="708" w:footer="708"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BEE6F" w14:textId="77777777" w:rsidR="009C5354" w:rsidRDefault="009C5354" w:rsidP="00BE65AB">
      <w:pPr>
        <w:spacing w:after="0" w:line="240" w:lineRule="auto"/>
      </w:pPr>
      <w:r>
        <w:separator/>
      </w:r>
    </w:p>
  </w:endnote>
  <w:endnote w:type="continuationSeparator" w:id="0">
    <w:p w14:paraId="01F52C5E" w14:textId="77777777" w:rsidR="009C5354" w:rsidRDefault="009C5354" w:rsidP="00BE6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CA50" w14:textId="77777777" w:rsidR="00E40FE3" w:rsidRPr="00E40FE3" w:rsidRDefault="00E40FE3" w:rsidP="00E40FE3">
    <w:pPr>
      <w:tabs>
        <w:tab w:val="center" w:pos="4536"/>
        <w:tab w:val="right" w:pos="9072"/>
      </w:tabs>
      <w:spacing w:after="0" w:line="240" w:lineRule="auto"/>
      <w:ind w:right="360"/>
      <w:rPr>
        <w:rFonts w:eastAsia="Times New Roman"/>
        <w:sz w:val="24"/>
        <w:szCs w:val="24"/>
        <w:lang w:eastAsia="fr-FR"/>
      </w:rPr>
    </w:pPr>
  </w:p>
  <w:tbl>
    <w:tblPr>
      <w:tblW w:w="5000" w:type="pct"/>
      <w:tblBorders>
        <w:top w:val="single" w:sz="4" w:space="0" w:color="auto"/>
      </w:tblBorders>
      <w:tblLook w:val="01E0" w:firstRow="1" w:lastRow="1" w:firstColumn="1" w:lastColumn="1" w:noHBand="0" w:noVBand="0"/>
    </w:tblPr>
    <w:tblGrid>
      <w:gridCol w:w="2168"/>
      <w:gridCol w:w="6858"/>
    </w:tblGrid>
    <w:tr w:rsidR="00E40FE3" w:rsidRPr="00E40FE3" w14:paraId="60172125" w14:textId="77777777" w:rsidTr="00F83B2D">
      <w:tc>
        <w:tcPr>
          <w:tcW w:w="1201" w:type="pct"/>
          <w:tcBorders>
            <w:top w:val="single" w:sz="4" w:space="0" w:color="auto"/>
          </w:tcBorders>
        </w:tcPr>
        <w:p w14:paraId="0E013F33" w14:textId="77777777" w:rsidR="00E40FE3" w:rsidRPr="00E40FE3" w:rsidRDefault="00E40FE3" w:rsidP="00E40FE3">
          <w:pPr>
            <w:tabs>
              <w:tab w:val="left" w:pos="1212"/>
            </w:tabs>
            <w:spacing w:after="0" w:line="240" w:lineRule="auto"/>
            <w:ind w:right="360"/>
            <w:rPr>
              <w:rFonts w:eastAsia="Times New Roman"/>
              <w:i/>
              <w:szCs w:val="24"/>
              <w:lang w:eastAsia="fr-FR"/>
            </w:rPr>
          </w:pPr>
          <w:r w:rsidRPr="00E40FE3">
            <w:rPr>
              <w:rFonts w:eastAsia="Times New Roman"/>
              <w:i/>
              <w:szCs w:val="24"/>
              <w:lang w:eastAsia="fr-FR"/>
            </w:rPr>
            <w:t xml:space="preserve">Milieu Ltd </w:t>
          </w:r>
        </w:p>
        <w:p w14:paraId="60E23CBA" w14:textId="186CA9B6" w:rsidR="00E40FE3" w:rsidRPr="00E40FE3" w:rsidRDefault="00E40FE3" w:rsidP="00E40FE3">
          <w:pPr>
            <w:tabs>
              <w:tab w:val="center" w:pos="4153"/>
              <w:tab w:val="right" w:pos="8306"/>
            </w:tabs>
            <w:spacing w:after="0" w:line="240" w:lineRule="auto"/>
            <w:ind w:right="360"/>
            <w:rPr>
              <w:rFonts w:eastAsia="Times New Roman"/>
              <w:i/>
              <w:szCs w:val="24"/>
              <w:lang w:eastAsia="fr-FR"/>
            </w:rPr>
          </w:pPr>
          <w:r w:rsidRPr="00E40FE3">
            <w:rPr>
              <w:rFonts w:eastAsia="Times New Roman"/>
              <w:i/>
              <w:szCs w:val="24"/>
              <w:lang w:eastAsia="fr-FR"/>
            </w:rPr>
            <w:t>Brussels, Ju</w:t>
          </w:r>
          <w:r>
            <w:rPr>
              <w:rFonts w:eastAsia="Times New Roman"/>
              <w:i/>
              <w:szCs w:val="24"/>
              <w:lang w:eastAsia="fr-FR"/>
            </w:rPr>
            <w:t>ly</w:t>
          </w:r>
          <w:r w:rsidRPr="00E40FE3">
            <w:rPr>
              <w:rFonts w:eastAsia="Times New Roman"/>
              <w:i/>
              <w:szCs w:val="24"/>
              <w:lang w:eastAsia="fr-FR"/>
            </w:rPr>
            <w:t xml:space="preserve"> 2018</w:t>
          </w:r>
        </w:p>
      </w:tc>
      <w:tc>
        <w:tcPr>
          <w:tcW w:w="3799" w:type="pct"/>
          <w:tcBorders>
            <w:top w:val="single" w:sz="4" w:space="0" w:color="auto"/>
          </w:tcBorders>
        </w:tcPr>
        <w:p w14:paraId="6240840F" w14:textId="14EE64B7" w:rsidR="00E40FE3" w:rsidRPr="00E40FE3" w:rsidRDefault="00E40FE3" w:rsidP="00E40FE3">
          <w:pPr>
            <w:tabs>
              <w:tab w:val="center" w:pos="4153"/>
              <w:tab w:val="right" w:pos="8306"/>
            </w:tabs>
            <w:spacing w:after="0" w:line="240" w:lineRule="auto"/>
            <w:ind w:right="19"/>
            <w:jc w:val="right"/>
            <w:rPr>
              <w:rFonts w:eastAsia="Times New Roman"/>
              <w:i/>
              <w:szCs w:val="24"/>
              <w:lang w:eastAsia="fr-FR"/>
            </w:rPr>
          </w:pPr>
          <w:r>
            <w:rPr>
              <w:rFonts w:eastAsia="Times New Roman"/>
              <w:i/>
              <w:szCs w:val="24"/>
              <w:lang w:eastAsia="fr-FR"/>
            </w:rPr>
            <w:t>Executive Summary</w:t>
          </w:r>
          <w:r w:rsidRPr="00E40FE3">
            <w:rPr>
              <w:rFonts w:eastAsia="Times New Roman"/>
              <w:i/>
              <w:szCs w:val="24"/>
              <w:lang w:eastAsia="fr-FR"/>
            </w:rPr>
            <w:t xml:space="preserve"> – Investors’ Residence Schemes in Latvia /</w:t>
          </w:r>
          <w:r w:rsidRPr="00E40FE3">
            <w:rPr>
              <w:rFonts w:eastAsia="Times New Roman"/>
              <w:i/>
              <w:szCs w:val="24"/>
              <w:lang w:eastAsia="fr-FR"/>
            </w:rPr>
            <w:fldChar w:fldCharType="begin"/>
          </w:r>
          <w:r w:rsidRPr="00E40FE3">
            <w:rPr>
              <w:rFonts w:eastAsia="Times New Roman"/>
              <w:i/>
              <w:szCs w:val="24"/>
              <w:lang w:eastAsia="fr-FR"/>
            </w:rPr>
            <w:instrText xml:space="preserve"> PAGE   \* MERGEFORMAT </w:instrText>
          </w:r>
          <w:r w:rsidRPr="00E40FE3">
            <w:rPr>
              <w:rFonts w:eastAsia="Times New Roman"/>
              <w:i/>
              <w:szCs w:val="24"/>
              <w:lang w:eastAsia="fr-FR"/>
            </w:rPr>
            <w:fldChar w:fldCharType="separate"/>
          </w:r>
          <w:r w:rsidRPr="00E40FE3">
            <w:rPr>
              <w:rFonts w:eastAsia="Times New Roman"/>
              <w:i/>
              <w:noProof/>
              <w:szCs w:val="24"/>
              <w:lang w:eastAsia="fr-FR"/>
            </w:rPr>
            <w:t>21</w:t>
          </w:r>
          <w:r w:rsidRPr="00E40FE3">
            <w:rPr>
              <w:rFonts w:eastAsia="Times New Roman"/>
              <w:i/>
              <w:szCs w:val="24"/>
              <w:lang w:eastAsia="fr-FR"/>
            </w:rPr>
            <w:fldChar w:fldCharType="end"/>
          </w:r>
        </w:p>
      </w:tc>
    </w:tr>
  </w:tbl>
  <w:p w14:paraId="725F5F48" w14:textId="77777777" w:rsidR="00E40FE3" w:rsidRPr="00E40FE3" w:rsidRDefault="00E40FE3" w:rsidP="00E40FE3">
    <w:pPr>
      <w:tabs>
        <w:tab w:val="center" w:pos="4536"/>
        <w:tab w:val="right" w:pos="9072"/>
      </w:tabs>
      <w:spacing w:after="0" w:line="240" w:lineRule="auto"/>
      <w:ind w:right="360"/>
      <w:rPr>
        <w:rFonts w:eastAsia="Times New Roman"/>
        <w:sz w:val="24"/>
        <w:szCs w:val="24"/>
        <w:lang w:eastAsia="fr-FR"/>
      </w:rPr>
    </w:pPr>
  </w:p>
  <w:p w14:paraId="2B212061" w14:textId="77777777" w:rsidR="00E40FE3" w:rsidRDefault="00E40F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FA4E4" w14:textId="77777777" w:rsidR="009C5354" w:rsidRDefault="009C5354" w:rsidP="00BE65AB">
      <w:pPr>
        <w:spacing w:after="0" w:line="240" w:lineRule="auto"/>
      </w:pPr>
      <w:r>
        <w:separator/>
      </w:r>
    </w:p>
  </w:footnote>
  <w:footnote w:type="continuationSeparator" w:id="0">
    <w:p w14:paraId="1201DEDD" w14:textId="77777777" w:rsidR="009C5354" w:rsidRDefault="009C5354" w:rsidP="00BE65AB">
      <w:pPr>
        <w:spacing w:after="0" w:line="240" w:lineRule="auto"/>
      </w:pPr>
      <w:r>
        <w:continuationSeparator/>
      </w:r>
    </w:p>
  </w:footnote>
  <w:footnote w:id="1">
    <w:p w14:paraId="64B9E618" w14:textId="77777777" w:rsidR="00AE574E" w:rsidRPr="00A40033" w:rsidRDefault="00AE574E" w:rsidP="00A40033">
      <w:pPr>
        <w:pStyle w:val="FootnoteText"/>
        <w:rPr>
          <w:szCs w:val="18"/>
        </w:rPr>
      </w:pPr>
      <w:r w:rsidRPr="00A40033">
        <w:rPr>
          <w:rStyle w:val="FootnoteReference"/>
          <w:szCs w:val="18"/>
        </w:rPr>
        <w:footnoteRef/>
      </w:r>
      <w:r w:rsidRPr="00A40033">
        <w:rPr>
          <w:szCs w:val="18"/>
        </w:rPr>
        <w:t xml:space="preserve"> Immigration Law (</w:t>
      </w:r>
      <w:proofErr w:type="spellStart"/>
      <w:r w:rsidRPr="00A40033">
        <w:rPr>
          <w:i/>
          <w:szCs w:val="18"/>
        </w:rPr>
        <w:t>Imigrācijas</w:t>
      </w:r>
      <w:proofErr w:type="spellEnd"/>
      <w:r w:rsidRPr="00A40033">
        <w:rPr>
          <w:i/>
          <w:szCs w:val="18"/>
        </w:rPr>
        <w:t xml:space="preserve"> </w:t>
      </w:r>
      <w:proofErr w:type="spellStart"/>
      <w:r w:rsidRPr="00A40033">
        <w:rPr>
          <w:i/>
          <w:szCs w:val="18"/>
        </w:rPr>
        <w:t>likums</w:t>
      </w:r>
      <w:proofErr w:type="spellEnd"/>
      <w:r w:rsidRPr="00A40033">
        <w:rPr>
          <w:szCs w:val="18"/>
        </w:rPr>
        <w:t>), OP: "</w:t>
      </w:r>
      <w:proofErr w:type="spellStart"/>
      <w:r w:rsidRPr="00A40033">
        <w:rPr>
          <w:i/>
          <w:szCs w:val="18"/>
        </w:rPr>
        <w:t>Latvijas</w:t>
      </w:r>
      <w:proofErr w:type="spellEnd"/>
      <w:r w:rsidRPr="00A40033">
        <w:rPr>
          <w:i/>
          <w:szCs w:val="18"/>
        </w:rPr>
        <w:t xml:space="preserve"> </w:t>
      </w:r>
      <w:proofErr w:type="spellStart"/>
      <w:r w:rsidRPr="00A40033">
        <w:rPr>
          <w:i/>
          <w:szCs w:val="18"/>
        </w:rPr>
        <w:t>Vēstnesis</w:t>
      </w:r>
      <w:proofErr w:type="spellEnd"/>
      <w:r w:rsidRPr="00A40033">
        <w:rPr>
          <w:szCs w:val="18"/>
        </w:rPr>
        <w:t xml:space="preserve">", 169 (2744), 20.11.2002, last amended on 4 July 2018, available at: </w:t>
      </w:r>
      <w:hyperlink r:id="rId1" w:history="1">
        <w:r w:rsidRPr="00A40033">
          <w:rPr>
            <w:rStyle w:val="Hyperlink"/>
            <w:szCs w:val="18"/>
          </w:rPr>
          <w:t>https://likumi.lv/ta/en/en/id/68522-immigration-law</w:t>
        </w:r>
      </w:hyperlink>
      <w:r w:rsidRPr="00A40033">
        <w:rPr>
          <w:szCs w:val="18"/>
        </w:rPr>
        <w:t xml:space="preserve">. </w:t>
      </w:r>
    </w:p>
  </w:footnote>
  <w:footnote w:id="2">
    <w:p w14:paraId="3AF1B1E0" w14:textId="77777777" w:rsidR="00AE574E" w:rsidRPr="00A40033" w:rsidRDefault="00AE574E" w:rsidP="00A40033">
      <w:pPr>
        <w:pStyle w:val="FootnoteText"/>
        <w:rPr>
          <w:szCs w:val="18"/>
        </w:rPr>
      </w:pPr>
      <w:r w:rsidRPr="00A40033">
        <w:rPr>
          <w:rStyle w:val="FootnoteReference"/>
          <w:szCs w:val="18"/>
        </w:rPr>
        <w:footnoteRef/>
      </w:r>
      <w:r w:rsidRPr="00A40033">
        <w:rPr>
          <w:szCs w:val="18"/>
        </w:rPr>
        <w:t xml:space="preserve"> Regulation No 564 of 21 June 2010 on Residence Permits (</w:t>
      </w:r>
      <w:proofErr w:type="spellStart"/>
      <w:r w:rsidRPr="00A40033">
        <w:rPr>
          <w:i/>
          <w:szCs w:val="18"/>
        </w:rPr>
        <w:t>Uzturēšanās</w:t>
      </w:r>
      <w:proofErr w:type="spellEnd"/>
      <w:r w:rsidRPr="00A40033">
        <w:rPr>
          <w:i/>
          <w:szCs w:val="18"/>
        </w:rPr>
        <w:t xml:space="preserve"> </w:t>
      </w:r>
      <w:proofErr w:type="spellStart"/>
      <w:r w:rsidRPr="00A40033">
        <w:rPr>
          <w:i/>
          <w:szCs w:val="18"/>
        </w:rPr>
        <w:t>atļauju</w:t>
      </w:r>
      <w:proofErr w:type="spellEnd"/>
      <w:r w:rsidRPr="00A40033">
        <w:rPr>
          <w:i/>
          <w:szCs w:val="18"/>
        </w:rPr>
        <w:t xml:space="preserve"> </w:t>
      </w:r>
      <w:proofErr w:type="spellStart"/>
      <w:r w:rsidRPr="00A40033">
        <w:rPr>
          <w:i/>
          <w:szCs w:val="18"/>
        </w:rPr>
        <w:t>noteikumi</w:t>
      </w:r>
      <w:proofErr w:type="spellEnd"/>
      <w:r w:rsidRPr="00A40033">
        <w:rPr>
          <w:szCs w:val="18"/>
        </w:rPr>
        <w:t>), OP: "</w:t>
      </w:r>
      <w:proofErr w:type="spellStart"/>
      <w:r w:rsidRPr="00A40033">
        <w:rPr>
          <w:szCs w:val="18"/>
        </w:rPr>
        <w:t>Latvijas</w:t>
      </w:r>
      <w:proofErr w:type="spellEnd"/>
      <w:r w:rsidRPr="00A40033">
        <w:rPr>
          <w:szCs w:val="18"/>
        </w:rPr>
        <w:t xml:space="preserve"> </w:t>
      </w:r>
      <w:proofErr w:type="spellStart"/>
      <w:r w:rsidRPr="00A40033">
        <w:rPr>
          <w:szCs w:val="18"/>
        </w:rPr>
        <w:t>Vēstnesis</w:t>
      </w:r>
      <w:proofErr w:type="spellEnd"/>
      <w:r w:rsidRPr="00A40033">
        <w:rPr>
          <w:szCs w:val="18"/>
        </w:rPr>
        <w:t xml:space="preserve">", 101 (4293), 29.06.2010, available at: </w:t>
      </w:r>
      <w:hyperlink r:id="rId2" w:history="1">
        <w:r w:rsidRPr="00A40033">
          <w:rPr>
            <w:rStyle w:val="Hyperlink"/>
            <w:szCs w:val="18"/>
          </w:rPr>
          <w:t>https://likumi.lv/ta/en/en/id/212441-regulations-regarding-residence-permits</w:t>
        </w:r>
      </w:hyperlink>
      <w:r w:rsidRPr="00A40033">
        <w:rPr>
          <w:szCs w:val="18"/>
        </w:rPr>
        <w:t xml:space="preserve">. </w:t>
      </w:r>
    </w:p>
  </w:footnote>
  <w:footnote w:id="3">
    <w:p w14:paraId="6FF32DBD" w14:textId="77777777" w:rsidR="00AE574E" w:rsidRPr="00A40033" w:rsidRDefault="00AE574E" w:rsidP="00A40033">
      <w:pPr>
        <w:pStyle w:val="FootnoteText"/>
        <w:rPr>
          <w:szCs w:val="18"/>
        </w:rPr>
      </w:pPr>
      <w:r w:rsidRPr="00A40033">
        <w:rPr>
          <w:rStyle w:val="FootnoteReference"/>
          <w:szCs w:val="18"/>
        </w:rPr>
        <w:footnoteRef/>
      </w:r>
      <w:r w:rsidRPr="00A40033">
        <w:rPr>
          <w:szCs w:val="18"/>
        </w:rPr>
        <w:t xml:space="preserve"> The website of the Office of Citizenship and Migration Affairs, available at:  </w:t>
      </w:r>
      <w:hyperlink r:id="rId3" w:history="1">
        <w:r w:rsidRPr="00A40033">
          <w:rPr>
            <w:rStyle w:val="Hyperlink"/>
            <w:szCs w:val="18"/>
          </w:rPr>
          <w:t>http://www.pmlp.gov.lv/</w:t>
        </w:r>
      </w:hyperlink>
      <w:r w:rsidRPr="00A40033">
        <w:rPr>
          <w:szCs w:val="18"/>
        </w:rPr>
        <w:t xml:space="preserve">. </w:t>
      </w:r>
    </w:p>
  </w:footnote>
  <w:footnote w:id="4">
    <w:p w14:paraId="2365C598" w14:textId="77777777" w:rsidR="00197B64" w:rsidRPr="00A40033" w:rsidRDefault="00197B64" w:rsidP="00A40033">
      <w:pPr>
        <w:pStyle w:val="FootnoteText"/>
        <w:rPr>
          <w:szCs w:val="18"/>
        </w:rPr>
      </w:pPr>
      <w:r w:rsidRPr="00A40033">
        <w:rPr>
          <w:rStyle w:val="FootnoteReference"/>
          <w:szCs w:val="18"/>
        </w:rPr>
        <w:footnoteRef/>
      </w:r>
      <w:r w:rsidRPr="00A40033">
        <w:rPr>
          <w:szCs w:val="18"/>
        </w:rPr>
        <w:t xml:space="preserve"> The Law on the Prevention of Money Laundering and Terrorism Financing (</w:t>
      </w:r>
      <w:proofErr w:type="spellStart"/>
      <w:r w:rsidRPr="00A40033">
        <w:rPr>
          <w:i/>
          <w:szCs w:val="18"/>
        </w:rPr>
        <w:t>Noziedzīgi</w:t>
      </w:r>
      <w:proofErr w:type="spellEnd"/>
      <w:r w:rsidRPr="00A40033">
        <w:rPr>
          <w:i/>
          <w:szCs w:val="18"/>
        </w:rPr>
        <w:t xml:space="preserve"> </w:t>
      </w:r>
      <w:proofErr w:type="spellStart"/>
      <w:r w:rsidRPr="00A40033">
        <w:rPr>
          <w:i/>
          <w:szCs w:val="18"/>
        </w:rPr>
        <w:t>iegūtu</w:t>
      </w:r>
      <w:proofErr w:type="spellEnd"/>
      <w:r w:rsidRPr="00A40033">
        <w:rPr>
          <w:i/>
          <w:szCs w:val="18"/>
        </w:rPr>
        <w:t xml:space="preserve"> </w:t>
      </w:r>
      <w:proofErr w:type="spellStart"/>
      <w:r w:rsidRPr="00A40033">
        <w:rPr>
          <w:i/>
          <w:szCs w:val="18"/>
        </w:rPr>
        <w:t>līdzekļu</w:t>
      </w:r>
      <w:proofErr w:type="spellEnd"/>
      <w:r w:rsidRPr="00A40033">
        <w:rPr>
          <w:i/>
          <w:szCs w:val="18"/>
        </w:rPr>
        <w:t xml:space="preserve"> </w:t>
      </w:r>
      <w:proofErr w:type="spellStart"/>
      <w:r w:rsidRPr="00A40033">
        <w:rPr>
          <w:i/>
          <w:szCs w:val="18"/>
        </w:rPr>
        <w:t>legalizācijas</w:t>
      </w:r>
      <w:proofErr w:type="spellEnd"/>
      <w:r w:rsidRPr="00A40033">
        <w:rPr>
          <w:i/>
          <w:szCs w:val="18"/>
        </w:rPr>
        <w:t xml:space="preserve"> un </w:t>
      </w:r>
      <w:proofErr w:type="spellStart"/>
      <w:r w:rsidRPr="00A40033">
        <w:rPr>
          <w:i/>
          <w:szCs w:val="18"/>
        </w:rPr>
        <w:t>terorisma</w:t>
      </w:r>
      <w:proofErr w:type="spellEnd"/>
      <w:r w:rsidRPr="00A40033">
        <w:rPr>
          <w:i/>
          <w:szCs w:val="18"/>
        </w:rPr>
        <w:t xml:space="preserve"> </w:t>
      </w:r>
      <w:proofErr w:type="spellStart"/>
      <w:r w:rsidRPr="00A40033">
        <w:rPr>
          <w:i/>
          <w:szCs w:val="18"/>
        </w:rPr>
        <w:t>finansēšanas</w:t>
      </w:r>
      <w:proofErr w:type="spellEnd"/>
      <w:r w:rsidRPr="00A40033">
        <w:rPr>
          <w:i/>
          <w:szCs w:val="18"/>
        </w:rPr>
        <w:t xml:space="preserve"> </w:t>
      </w:r>
      <w:proofErr w:type="spellStart"/>
      <w:r w:rsidRPr="00A40033">
        <w:rPr>
          <w:i/>
          <w:szCs w:val="18"/>
        </w:rPr>
        <w:t>novēršanas</w:t>
      </w:r>
      <w:proofErr w:type="spellEnd"/>
      <w:r w:rsidRPr="00A40033">
        <w:rPr>
          <w:i/>
          <w:szCs w:val="18"/>
        </w:rPr>
        <w:t xml:space="preserve"> </w:t>
      </w:r>
      <w:proofErr w:type="spellStart"/>
      <w:r w:rsidRPr="00A40033">
        <w:rPr>
          <w:i/>
          <w:szCs w:val="18"/>
        </w:rPr>
        <w:t>likums</w:t>
      </w:r>
      <w:proofErr w:type="spellEnd"/>
      <w:r w:rsidRPr="00A40033">
        <w:rPr>
          <w:i/>
          <w:szCs w:val="18"/>
        </w:rPr>
        <w:t>),</w:t>
      </w:r>
      <w:r w:rsidRPr="00A40033">
        <w:rPr>
          <w:szCs w:val="18"/>
        </w:rPr>
        <w:t xml:space="preserve"> OP: "</w:t>
      </w:r>
      <w:proofErr w:type="spellStart"/>
      <w:r w:rsidRPr="00A40033">
        <w:rPr>
          <w:szCs w:val="18"/>
        </w:rPr>
        <w:t>Latvijas</w:t>
      </w:r>
      <w:proofErr w:type="spellEnd"/>
      <w:r w:rsidRPr="00A40033">
        <w:rPr>
          <w:szCs w:val="18"/>
        </w:rPr>
        <w:t xml:space="preserve"> </w:t>
      </w:r>
      <w:proofErr w:type="spellStart"/>
      <w:r w:rsidRPr="00A40033">
        <w:rPr>
          <w:szCs w:val="18"/>
        </w:rPr>
        <w:t>Vēstnesis</w:t>
      </w:r>
      <w:proofErr w:type="spellEnd"/>
      <w:r w:rsidRPr="00A40033">
        <w:rPr>
          <w:szCs w:val="18"/>
        </w:rPr>
        <w:t xml:space="preserve">", 116 (3900), 30.07.2008, available at </w:t>
      </w:r>
      <w:hyperlink r:id="rId4" w:history="1">
        <w:r w:rsidRPr="00A40033">
          <w:rPr>
            <w:rStyle w:val="Hyperlink"/>
            <w:szCs w:val="18"/>
          </w:rPr>
          <w:t>https://likumi.lv/doc.php?id=178987</w:t>
        </w:r>
      </w:hyperlink>
      <w:r w:rsidRPr="00A40033">
        <w:rPr>
          <w:rStyle w:val="Hyperlink"/>
          <w:szCs w:val="18"/>
        </w:rPr>
        <w:t xml:space="preserve">. </w:t>
      </w:r>
    </w:p>
  </w:footnote>
  <w:footnote w:id="5">
    <w:p w14:paraId="0CEEEC6F" w14:textId="5B004601" w:rsidR="00AE574E" w:rsidRPr="00A40033" w:rsidRDefault="00AE574E" w:rsidP="00A40033">
      <w:pPr>
        <w:pStyle w:val="FootnoteText"/>
        <w:rPr>
          <w:szCs w:val="18"/>
        </w:rPr>
      </w:pPr>
      <w:r w:rsidRPr="00A40033">
        <w:rPr>
          <w:rStyle w:val="FootnoteReference"/>
          <w:szCs w:val="18"/>
        </w:rPr>
        <w:footnoteRef/>
      </w:r>
      <w:r w:rsidRPr="00A40033">
        <w:rPr>
          <w:szCs w:val="18"/>
        </w:rPr>
        <w:t xml:space="preserve"> Article 23(1) Immigration Law</w:t>
      </w:r>
      <w:r w:rsidR="00B91958" w:rsidRPr="00A40033">
        <w:rPr>
          <w:szCs w:val="18"/>
        </w:rPr>
        <w:t>, Points (28) to (33)</w:t>
      </w:r>
      <w:r w:rsidRPr="00A40033">
        <w:rPr>
          <w:szCs w:val="18"/>
        </w:rPr>
        <w:t>.</w:t>
      </w:r>
    </w:p>
  </w:footnote>
  <w:footnote w:id="6">
    <w:p w14:paraId="73A5F22F" w14:textId="77777777" w:rsidR="00B91958" w:rsidRPr="00A40033" w:rsidRDefault="00B91958" w:rsidP="00A40033">
      <w:pPr>
        <w:pStyle w:val="FootnoteText"/>
        <w:rPr>
          <w:szCs w:val="18"/>
        </w:rPr>
      </w:pPr>
      <w:r w:rsidRPr="00A40033">
        <w:rPr>
          <w:rStyle w:val="FootnoteReference"/>
          <w:szCs w:val="18"/>
        </w:rPr>
        <w:footnoteRef/>
      </w:r>
      <w:r w:rsidRPr="00A40033">
        <w:rPr>
          <w:szCs w:val="18"/>
        </w:rPr>
        <w:t xml:space="preserve"> Article 22(2) of the Immigration Law.</w:t>
      </w:r>
    </w:p>
  </w:footnote>
  <w:footnote w:id="7">
    <w:p w14:paraId="54FB9651" w14:textId="77777777" w:rsidR="00B91958" w:rsidRPr="00A40033" w:rsidRDefault="00B91958" w:rsidP="00A40033">
      <w:pPr>
        <w:pStyle w:val="FootnoteText"/>
        <w:rPr>
          <w:szCs w:val="18"/>
        </w:rPr>
      </w:pPr>
      <w:r w:rsidRPr="00A40033">
        <w:rPr>
          <w:rStyle w:val="FootnoteReference"/>
          <w:szCs w:val="18"/>
        </w:rPr>
        <w:footnoteRef/>
      </w:r>
      <w:r w:rsidRPr="00A40033">
        <w:rPr>
          <w:szCs w:val="18"/>
        </w:rPr>
        <w:t xml:space="preserve"> Point 49 of Regulation No 564.</w:t>
      </w:r>
    </w:p>
  </w:footnote>
  <w:footnote w:id="8">
    <w:p w14:paraId="52C27306" w14:textId="77777777" w:rsidR="00B91958" w:rsidRPr="00A40033" w:rsidRDefault="00B91958" w:rsidP="00A40033">
      <w:pPr>
        <w:pStyle w:val="FootnoteText"/>
        <w:rPr>
          <w:szCs w:val="18"/>
        </w:rPr>
      </w:pPr>
      <w:r w:rsidRPr="00A40033">
        <w:rPr>
          <w:rStyle w:val="FootnoteReference"/>
          <w:szCs w:val="18"/>
        </w:rPr>
        <w:footnoteRef/>
      </w:r>
      <w:r w:rsidRPr="00A40033">
        <w:rPr>
          <w:szCs w:val="18"/>
        </w:rPr>
        <w:t xml:space="preserve"> Point 56 of Regulation No 564.</w:t>
      </w:r>
    </w:p>
  </w:footnote>
  <w:footnote w:id="9">
    <w:p w14:paraId="08C37F9B" w14:textId="77777777" w:rsidR="00B91958" w:rsidRPr="00A40033" w:rsidRDefault="00B91958" w:rsidP="00A40033">
      <w:pPr>
        <w:pStyle w:val="FootnoteText"/>
        <w:rPr>
          <w:szCs w:val="18"/>
        </w:rPr>
      </w:pPr>
      <w:r w:rsidRPr="00A40033">
        <w:rPr>
          <w:rStyle w:val="FootnoteReference"/>
          <w:szCs w:val="18"/>
        </w:rPr>
        <w:footnoteRef/>
      </w:r>
      <w:r w:rsidRPr="00A40033">
        <w:rPr>
          <w:szCs w:val="18"/>
        </w:rPr>
        <w:t xml:space="preserve"> Point 73.4 of Regulation No 564.</w:t>
      </w:r>
    </w:p>
  </w:footnote>
  <w:footnote w:id="10">
    <w:p w14:paraId="24CFF47E" w14:textId="1E462E09" w:rsidR="00B91958" w:rsidRPr="00A40033" w:rsidRDefault="00B91958" w:rsidP="00A40033">
      <w:pPr>
        <w:pStyle w:val="FootnoteText"/>
        <w:rPr>
          <w:szCs w:val="18"/>
        </w:rPr>
      </w:pPr>
      <w:r w:rsidRPr="00A40033">
        <w:rPr>
          <w:rStyle w:val="FootnoteReference"/>
          <w:szCs w:val="18"/>
        </w:rPr>
        <w:footnoteRef/>
      </w:r>
      <w:r w:rsidRPr="00A40033">
        <w:rPr>
          <w:szCs w:val="18"/>
        </w:rPr>
        <w:t xml:space="preserve"> Article 23(1) Immigration Law, Points (28) to (33). See table at the beginning of the section “Conditions and procedure” for specific amounts.</w:t>
      </w:r>
    </w:p>
  </w:footnote>
  <w:footnote w:id="11">
    <w:p w14:paraId="0337A88B" w14:textId="77777777" w:rsidR="00AE574E" w:rsidRPr="00A40033" w:rsidRDefault="00AE574E" w:rsidP="00A40033">
      <w:pPr>
        <w:pStyle w:val="FootnoteText"/>
        <w:rPr>
          <w:szCs w:val="18"/>
        </w:rPr>
      </w:pPr>
      <w:r w:rsidRPr="00A40033">
        <w:rPr>
          <w:rStyle w:val="FootnoteReference"/>
          <w:szCs w:val="18"/>
        </w:rPr>
        <w:footnoteRef/>
      </w:r>
      <w:r w:rsidRPr="00A40033">
        <w:rPr>
          <w:szCs w:val="18"/>
        </w:rPr>
        <w:t xml:space="preserve"> Third-country nationals may be exempt from the requirement to hold visas based on visa waiver agreements between Latvia and other States and Council Regulation (EC) No 539/2001 of 15 March 2001 listing the third countries whose nationals must be in possession of visas when crossing the external borders and those whose nationals are exempt from that requirement, OJ L 81, 21.3.2001, p. 1–7.</w:t>
      </w:r>
    </w:p>
  </w:footnote>
  <w:footnote w:id="12">
    <w:p w14:paraId="7544082E" w14:textId="77777777" w:rsidR="00B91958" w:rsidRPr="00A40033" w:rsidRDefault="00B91958" w:rsidP="00A40033">
      <w:pPr>
        <w:pStyle w:val="FootnoteText"/>
        <w:rPr>
          <w:szCs w:val="18"/>
        </w:rPr>
      </w:pPr>
      <w:r w:rsidRPr="00A40033">
        <w:rPr>
          <w:rStyle w:val="FootnoteReference"/>
          <w:szCs w:val="18"/>
        </w:rPr>
        <w:footnoteRef/>
      </w:r>
      <w:r w:rsidRPr="00A40033">
        <w:rPr>
          <w:szCs w:val="18"/>
        </w:rPr>
        <w:t xml:space="preserve"> Point 28 of Regulation No 564.</w:t>
      </w:r>
    </w:p>
  </w:footnote>
  <w:footnote w:id="13">
    <w:p w14:paraId="242DD90B" w14:textId="77777777" w:rsidR="00076591" w:rsidRPr="00A40033" w:rsidRDefault="00076591" w:rsidP="00A40033">
      <w:pPr>
        <w:pStyle w:val="FootnoteText"/>
        <w:rPr>
          <w:szCs w:val="18"/>
        </w:rPr>
      </w:pPr>
      <w:r w:rsidRPr="00A40033">
        <w:rPr>
          <w:rStyle w:val="FootnoteReference"/>
          <w:szCs w:val="18"/>
        </w:rPr>
        <w:footnoteRef/>
      </w:r>
      <w:r w:rsidRPr="00A40033">
        <w:rPr>
          <w:szCs w:val="18"/>
        </w:rPr>
        <w:t xml:space="preserve"> Regulation No 564 of 21 June 2010 on Residence Permits (</w:t>
      </w:r>
      <w:proofErr w:type="spellStart"/>
      <w:r w:rsidRPr="00A40033">
        <w:rPr>
          <w:i/>
          <w:szCs w:val="18"/>
        </w:rPr>
        <w:t>Uzturēšanās</w:t>
      </w:r>
      <w:proofErr w:type="spellEnd"/>
      <w:r w:rsidRPr="00A40033">
        <w:rPr>
          <w:i/>
          <w:szCs w:val="18"/>
        </w:rPr>
        <w:t xml:space="preserve"> </w:t>
      </w:r>
      <w:proofErr w:type="spellStart"/>
      <w:r w:rsidRPr="00A40033">
        <w:rPr>
          <w:i/>
          <w:szCs w:val="18"/>
        </w:rPr>
        <w:t>atļauju</w:t>
      </w:r>
      <w:proofErr w:type="spellEnd"/>
      <w:r w:rsidRPr="00A40033">
        <w:rPr>
          <w:i/>
          <w:szCs w:val="18"/>
        </w:rPr>
        <w:t xml:space="preserve"> </w:t>
      </w:r>
      <w:proofErr w:type="spellStart"/>
      <w:r w:rsidRPr="00A40033">
        <w:rPr>
          <w:i/>
          <w:szCs w:val="18"/>
        </w:rPr>
        <w:t>noteikumi</w:t>
      </w:r>
      <w:proofErr w:type="spellEnd"/>
      <w:r w:rsidRPr="00A40033">
        <w:rPr>
          <w:szCs w:val="18"/>
        </w:rPr>
        <w:t>), OP: "</w:t>
      </w:r>
      <w:proofErr w:type="spellStart"/>
      <w:r w:rsidRPr="00A40033">
        <w:rPr>
          <w:szCs w:val="18"/>
        </w:rPr>
        <w:t>Latvijas</w:t>
      </w:r>
      <w:proofErr w:type="spellEnd"/>
      <w:r w:rsidRPr="00A40033">
        <w:rPr>
          <w:szCs w:val="18"/>
        </w:rPr>
        <w:t xml:space="preserve"> </w:t>
      </w:r>
      <w:proofErr w:type="spellStart"/>
      <w:r w:rsidRPr="00A40033">
        <w:rPr>
          <w:szCs w:val="18"/>
        </w:rPr>
        <w:t>Vēstnesis</w:t>
      </w:r>
      <w:proofErr w:type="spellEnd"/>
      <w:r w:rsidRPr="00A40033">
        <w:rPr>
          <w:szCs w:val="18"/>
        </w:rPr>
        <w:t xml:space="preserve">", 101 (4293), 29.06.2010, available at: </w:t>
      </w:r>
      <w:hyperlink r:id="rId5" w:history="1">
        <w:r w:rsidRPr="00A40033">
          <w:rPr>
            <w:rStyle w:val="Hyperlink"/>
            <w:szCs w:val="18"/>
          </w:rPr>
          <w:t>https://likumi.lv/ta/en/en/id/212441-regulations-regarding-residence-permits</w:t>
        </w:r>
      </w:hyperlink>
      <w:r w:rsidRPr="00A40033">
        <w:rPr>
          <w:szCs w:val="18"/>
        </w:rPr>
        <w:t xml:space="preserve">. </w:t>
      </w:r>
    </w:p>
  </w:footnote>
  <w:footnote w:id="14">
    <w:p w14:paraId="547C3524" w14:textId="77777777" w:rsidR="00076591" w:rsidRPr="00A40033" w:rsidRDefault="00076591" w:rsidP="00A40033">
      <w:pPr>
        <w:pStyle w:val="FootnoteText"/>
        <w:rPr>
          <w:szCs w:val="18"/>
        </w:rPr>
      </w:pPr>
      <w:r w:rsidRPr="00A40033">
        <w:rPr>
          <w:rStyle w:val="FootnoteReference"/>
          <w:szCs w:val="18"/>
        </w:rPr>
        <w:footnoteRef/>
      </w:r>
      <w:r w:rsidRPr="00A40033">
        <w:rPr>
          <w:szCs w:val="18"/>
        </w:rPr>
        <w:t xml:space="preserve"> Point 28 of Regulation No 564.</w:t>
      </w:r>
    </w:p>
  </w:footnote>
  <w:footnote w:id="15">
    <w:p w14:paraId="57908E5D" w14:textId="77777777" w:rsidR="00076591" w:rsidRPr="00A40033" w:rsidRDefault="00076591" w:rsidP="00A40033">
      <w:pPr>
        <w:pStyle w:val="FootnoteText"/>
        <w:rPr>
          <w:szCs w:val="18"/>
        </w:rPr>
      </w:pPr>
      <w:r w:rsidRPr="00A40033">
        <w:rPr>
          <w:rStyle w:val="FootnoteReference"/>
          <w:szCs w:val="18"/>
        </w:rPr>
        <w:footnoteRef/>
      </w:r>
      <w:r w:rsidRPr="00A40033">
        <w:rPr>
          <w:szCs w:val="18"/>
        </w:rPr>
        <w:t xml:space="preserve"> Article 33(1) Immigration Law.</w:t>
      </w:r>
    </w:p>
  </w:footnote>
  <w:footnote w:id="16">
    <w:p w14:paraId="5FB27979" w14:textId="77777777" w:rsidR="00076591" w:rsidRPr="00A40033" w:rsidRDefault="00076591" w:rsidP="00A40033">
      <w:pPr>
        <w:pStyle w:val="FootnoteText"/>
        <w:rPr>
          <w:szCs w:val="18"/>
        </w:rPr>
      </w:pPr>
      <w:r w:rsidRPr="00A40033">
        <w:rPr>
          <w:rStyle w:val="FootnoteReference"/>
          <w:szCs w:val="18"/>
        </w:rPr>
        <w:footnoteRef/>
      </w:r>
      <w:r w:rsidRPr="00A40033">
        <w:rPr>
          <w:szCs w:val="18"/>
        </w:rPr>
        <w:t xml:space="preserve"> Decisions on temporary permits are taken within 30 days from the day application was submitted based on Article 33(1) of the Immigration Law.</w:t>
      </w:r>
    </w:p>
  </w:footnote>
  <w:footnote w:id="17">
    <w:p w14:paraId="5CEB022E" w14:textId="77777777" w:rsidR="00076591" w:rsidRPr="00A40033" w:rsidRDefault="00076591" w:rsidP="00A40033">
      <w:pPr>
        <w:pStyle w:val="FootnoteText"/>
        <w:rPr>
          <w:szCs w:val="18"/>
        </w:rPr>
      </w:pPr>
      <w:r w:rsidRPr="00A40033">
        <w:rPr>
          <w:rStyle w:val="FootnoteReference"/>
          <w:szCs w:val="18"/>
        </w:rPr>
        <w:footnoteRef/>
      </w:r>
      <w:r w:rsidRPr="00A40033">
        <w:rPr>
          <w:szCs w:val="18"/>
        </w:rPr>
        <w:t xml:space="preserve"> Point 75 of Regulation r No 564.</w:t>
      </w:r>
    </w:p>
  </w:footnote>
  <w:footnote w:id="18">
    <w:p w14:paraId="2BA38B26" w14:textId="7891BC02" w:rsidR="00076591" w:rsidRPr="00A40033" w:rsidRDefault="00076591" w:rsidP="00A40033">
      <w:pPr>
        <w:pStyle w:val="FootnoteText"/>
        <w:rPr>
          <w:szCs w:val="18"/>
        </w:rPr>
      </w:pPr>
      <w:r w:rsidRPr="00A40033">
        <w:rPr>
          <w:rStyle w:val="FootnoteReference"/>
          <w:szCs w:val="18"/>
        </w:rPr>
        <w:footnoteRef/>
      </w:r>
      <w:r w:rsidRPr="00A40033">
        <w:rPr>
          <w:szCs w:val="18"/>
        </w:rPr>
        <w:t xml:space="preserve"> </w:t>
      </w:r>
      <w:r w:rsidRPr="00A40033">
        <w:rPr>
          <w:bCs/>
          <w:szCs w:val="18"/>
        </w:rPr>
        <w:t xml:space="preserve">There is no specification in Latvian laws and regulations of what ‘valid health insurance’ implies. </w:t>
      </w:r>
      <w:r w:rsidRPr="00A40033">
        <w:rPr>
          <w:bCs/>
          <w:szCs w:val="18"/>
        </w:rPr>
        <w:t xml:space="preserve">Nonetheless, it can be implied that valid health insurance must be obtained either in the country of origin, or in </w:t>
      </w:r>
      <w:r w:rsidRPr="00A40033">
        <w:rPr>
          <w:bCs/>
          <w:szCs w:val="18"/>
        </w:rPr>
        <w:t>Latvia.</w:t>
      </w:r>
      <w:bookmarkStart w:id="0" w:name="_GoBack"/>
      <w:bookmarkEnd w:id="0"/>
    </w:p>
  </w:footnote>
  <w:footnote w:id="19">
    <w:p w14:paraId="425706DF" w14:textId="77777777" w:rsidR="00076591" w:rsidRPr="00A40033" w:rsidRDefault="00076591" w:rsidP="00A40033">
      <w:pPr>
        <w:pStyle w:val="FootnoteText"/>
        <w:rPr>
          <w:szCs w:val="18"/>
        </w:rPr>
      </w:pPr>
      <w:r w:rsidRPr="00A40033">
        <w:rPr>
          <w:rStyle w:val="FootnoteReference"/>
          <w:szCs w:val="18"/>
        </w:rPr>
        <w:footnoteRef/>
      </w:r>
      <w:r w:rsidRPr="00A40033">
        <w:rPr>
          <w:szCs w:val="18"/>
        </w:rPr>
        <w:t xml:space="preserve"> Point 73 of Regulation No 564.</w:t>
      </w:r>
    </w:p>
  </w:footnote>
  <w:footnote w:id="20">
    <w:p w14:paraId="18642981" w14:textId="77777777" w:rsidR="00AE574E" w:rsidRPr="00A40033" w:rsidRDefault="00AE574E" w:rsidP="00A40033">
      <w:pPr>
        <w:pStyle w:val="FootnoteText"/>
        <w:rPr>
          <w:szCs w:val="18"/>
        </w:rPr>
      </w:pPr>
      <w:r w:rsidRPr="00A40033">
        <w:rPr>
          <w:rStyle w:val="FootnoteReference"/>
          <w:szCs w:val="18"/>
        </w:rPr>
        <w:footnoteRef/>
      </w:r>
      <w:r w:rsidRPr="00A40033">
        <w:rPr>
          <w:szCs w:val="18"/>
        </w:rPr>
        <w:t xml:space="preserve"> Information from the website of the OCMA, available at: </w:t>
      </w:r>
      <w:hyperlink r:id="rId6" w:history="1">
        <w:r w:rsidRPr="00A40033">
          <w:rPr>
            <w:rStyle w:val="Hyperlink"/>
            <w:szCs w:val="18"/>
          </w:rPr>
          <w:t>http://www.pmlp.gov.lv/en/home/services/residence-permits/in-what-cases-may-the-rp-issued-to-you-be-annulled.html</w:t>
        </w:r>
      </w:hyperlink>
      <w:r w:rsidRPr="00A40033">
        <w:rPr>
          <w:szCs w:val="18"/>
        </w:rPr>
        <w:t xml:space="preserve"> </w:t>
      </w:r>
    </w:p>
  </w:footnote>
  <w:footnote w:id="21">
    <w:p w14:paraId="05AC363B" w14:textId="5CE461A3" w:rsidR="007A084E" w:rsidRPr="00A40033" w:rsidRDefault="007A084E" w:rsidP="00A40033">
      <w:pPr>
        <w:pStyle w:val="FootnoteText"/>
        <w:rPr>
          <w:szCs w:val="18"/>
        </w:rPr>
      </w:pPr>
      <w:r w:rsidRPr="00A40033">
        <w:rPr>
          <w:rStyle w:val="FootnoteReference"/>
          <w:szCs w:val="18"/>
        </w:rPr>
        <w:footnoteRef/>
      </w:r>
      <w:r w:rsidRPr="00A40033">
        <w:rPr>
          <w:szCs w:val="18"/>
        </w:rPr>
        <w:t xml:space="preserve"> Information obtained from the OCMA</w:t>
      </w:r>
      <w:r w:rsidR="0085426F" w:rsidRPr="00A40033">
        <w:rPr>
          <w:szCs w:val="18"/>
        </w:rPr>
        <w:t>,</w:t>
      </w:r>
      <w:r w:rsidRPr="00A40033">
        <w:rPr>
          <w:szCs w:val="18"/>
        </w:rPr>
        <w:t xml:space="preserve"> 16 July 2018.</w:t>
      </w:r>
    </w:p>
  </w:footnote>
  <w:footnote w:id="22">
    <w:p w14:paraId="183595AD" w14:textId="55F623D5" w:rsidR="00B91958" w:rsidRPr="00A40033" w:rsidRDefault="00B91958" w:rsidP="00A40033">
      <w:pPr>
        <w:pStyle w:val="FootnoteText"/>
        <w:rPr>
          <w:szCs w:val="18"/>
        </w:rPr>
      </w:pPr>
      <w:r w:rsidRPr="00A40033">
        <w:rPr>
          <w:rStyle w:val="FootnoteReference"/>
          <w:szCs w:val="18"/>
        </w:rPr>
        <w:footnoteRef/>
      </w:r>
      <w:r w:rsidRPr="00A40033">
        <w:rPr>
          <w:szCs w:val="18"/>
        </w:rPr>
        <w:t xml:space="preserve"> Point 4 of Article 23(1) Immigration Law.</w:t>
      </w:r>
    </w:p>
  </w:footnote>
  <w:footnote w:id="23">
    <w:p w14:paraId="2407CAD6" w14:textId="77777777" w:rsidR="00BD2601" w:rsidRPr="00A40033" w:rsidRDefault="00BD2601" w:rsidP="00A40033">
      <w:pPr>
        <w:pStyle w:val="FootnoteText"/>
        <w:rPr>
          <w:szCs w:val="18"/>
        </w:rPr>
      </w:pPr>
      <w:r w:rsidRPr="00A40033">
        <w:rPr>
          <w:rStyle w:val="FootnoteReference"/>
          <w:szCs w:val="18"/>
        </w:rPr>
        <w:footnoteRef/>
      </w:r>
      <w:r w:rsidRPr="00A40033">
        <w:rPr>
          <w:szCs w:val="18"/>
        </w:rPr>
        <w:t xml:space="preserve"> The Office of Citizenship and Migration Affairs (OCMA) 2017 Report on progress and results of implementing Article 23(1), points 3, 28, 29, 30 un 31 of the Immigration Law, available at </w:t>
      </w:r>
      <w:hyperlink r:id="rId7" w:history="1">
        <w:r w:rsidRPr="00A40033">
          <w:rPr>
            <w:rStyle w:val="Hyperlink"/>
            <w:szCs w:val="18"/>
          </w:rPr>
          <w:t>http://tap.mk.gov.lv/lv/mk/tap/?pid=40441522</w:t>
        </w:r>
      </w:hyperlink>
      <w:r w:rsidRPr="00A40033">
        <w:rPr>
          <w:szCs w:val="18"/>
        </w:rPr>
        <w:t xml:space="preserve">. </w:t>
      </w:r>
    </w:p>
  </w:footnote>
  <w:footnote w:id="24">
    <w:p w14:paraId="59FD3168" w14:textId="77777777" w:rsidR="00BD2601" w:rsidRPr="00A40033" w:rsidRDefault="00BD2601" w:rsidP="00A40033">
      <w:pPr>
        <w:pStyle w:val="FootnoteText"/>
        <w:rPr>
          <w:szCs w:val="18"/>
        </w:rPr>
      </w:pPr>
      <w:r w:rsidRPr="00A40033">
        <w:rPr>
          <w:rStyle w:val="FootnoteReference"/>
          <w:szCs w:val="18"/>
        </w:rPr>
        <w:footnoteRef/>
      </w:r>
      <w:r w:rsidRPr="00A40033">
        <w:rPr>
          <w:szCs w:val="18"/>
        </w:rPr>
        <w:t xml:space="preserve"> Website of the Citizenship, Migration and Social Cohesion Committee, available at: </w:t>
      </w:r>
      <w:hyperlink r:id="rId8" w:history="1">
        <w:r w:rsidRPr="00A40033">
          <w:rPr>
            <w:rStyle w:val="Hyperlink"/>
            <w:szCs w:val="18"/>
          </w:rPr>
          <w:t>http://saliedetiba.saeima.lv/en/</w:t>
        </w:r>
      </w:hyperlink>
      <w:r w:rsidRPr="00A40033">
        <w:rPr>
          <w:szCs w:val="18"/>
        </w:rPr>
        <w:t xml:space="preserve">. </w:t>
      </w:r>
    </w:p>
  </w:footnote>
  <w:footnote w:id="25">
    <w:p w14:paraId="615D4F6D" w14:textId="77777777" w:rsidR="00BD2601" w:rsidRPr="00A40033" w:rsidRDefault="00BD2601" w:rsidP="00A40033">
      <w:pPr>
        <w:pStyle w:val="FootnoteText"/>
        <w:rPr>
          <w:szCs w:val="18"/>
        </w:rPr>
      </w:pPr>
      <w:r w:rsidRPr="00A40033">
        <w:rPr>
          <w:rStyle w:val="FootnoteReference"/>
          <w:szCs w:val="18"/>
        </w:rPr>
        <w:footnoteRef/>
      </w:r>
      <w:r w:rsidRPr="00A40033">
        <w:rPr>
          <w:szCs w:val="18"/>
        </w:rPr>
        <w:t xml:space="preserve"> Information about the </w:t>
      </w:r>
      <w:r w:rsidRPr="00A40033">
        <w:rPr>
          <w:bCs/>
          <w:szCs w:val="18"/>
        </w:rPr>
        <w:t xml:space="preserve">Defence, Internal Affairs and Corruption Prevention Committee, available at: </w:t>
      </w:r>
      <w:hyperlink r:id="rId9" w:history="1">
        <w:r w:rsidRPr="00A40033">
          <w:rPr>
            <w:rStyle w:val="Hyperlink"/>
            <w:szCs w:val="18"/>
          </w:rPr>
          <w:t>http://www.saeima.lv/faktulapas/2501_Aizsardzibas_komisija_faktu_lapaENG_SCREEN</w:t>
        </w:r>
      </w:hyperlink>
      <w:r w:rsidRPr="00A40033">
        <w:rPr>
          <w:szCs w:val="18"/>
        </w:rPr>
        <w:t>.</w:t>
      </w:r>
    </w:p>
  </w:footnote>
  <w:footnote w:id="26">
    <w:p w14:paraId="53BCF0F9" w14:textId="77777777" w:rsidR="00BD2601" w:rsidRPr="00A40033" w:rsidRDefault="00BD2601" w:rsidP="00A40033">
      <w:pPr>
        <w:pStyle w:val="FootnoteText"/>
        <w:rPr>
          <w:szCs w:val="18"/>
        </w:rPr>
      </w:pPr>
      <w:r w:rsidRPr="00A40033">
        <w:rPr>
          <w:rStyle w:val="FootnoteReference"/>
          <w:szCs w:val="18"/>
        </w:rPr>
        <w:footnoteRef/>
      </w:r>
      <w:r w:rsidRPr="00A40033">
        <w:rPr>
          <w:szCs w:val="18"/>
        </w:rPr>
        <w:t xml:space="preserve"> Proposal to amend the Immigration Law submitted by the </w:t>
      </w:r>
      <w:r w:rsidRPr="00A40033">
        <w:rPr>
          <w:bCs/>
          <w:szCs w:val="18"/>
        </w:rPr>
        <w:t>Defence, Internal Affairs and Corruption Prevention Committee, available:</w:t>
      </w:r>
      <w:r w:rsidRPr="00A40033">
        <w:rPr>
          <w:szCs w:val="18"/>
        </w:rPr>
        <w:t xml:space="preserve"> </w:t>
      </w:r>
      <w:hyperlink r:id="rId10" w:history="1">
        <w:r w:rsidRPr="00A40033">
          <w:rPr>
            <w:rStyle w:val="Hyperlink"/>
            <w:szCs w:val="18"/>
          </w:rPr>
          <w:t>http://titania.saeima.lv/LIVS11/SaeimaLIVS11.nsf/0/7FF90A1790265A8DC2257C05003EE74E?OpenDocument</w:t>
        </w:r>
      </w:hyperlink>
      <w:r w:rsidRPr="00A40033">
        <w:rPr>
          <w:szCs w:val="18"/>
        </w:rPr>
        <w:t>.</w:t>
      </w:r>
    </w:p>
  </w:footnote>
  <w:footnote w:id="27">
    <w:p w14:paraId="2F9FC285" w14:textId="77777777" w:rsidR="00E40FE3" w:rsidRPr="00A40033" w:rsidRDefault="00E40FE3" w:rsidP="00A40033">
      <w:pPr>
        <w:pStyle w:val="FootnoteText"/>
        <w:rPr>
          <w:szCs w:val="18"/>
        </w:rPr>
      </w:pPr>
      <w:r w:rsidRPr="00A40033">
        <w:rPr>
          <w:rStyle w:val="FootnoteReference"/>
          <w:szCs w:val="18"/>
        </w:rPr>
        <w:footnoteRef/>
      </w:r>
      <w:r w:rsidRPr="00A40033">
        <w:rPr>
          <w:szCs w:val="18"/>
        </w:rPr>
        <w:t xml:space="preserve"> Article 9(5), points 13-15 and 24, of the Immigration Law.</w:t>
      </w:r>
    </w:p>
  </w:footnote>
  <w:footnote w:id="28">
    <w:p w14:paraId="1EF6289B" w14:textId="77777777" w:rsidR="00E40FE3" w:rsidRPr="00A40033" w:rsidRDefault="00E40FE3" w:rsidP="00A40033">
      <w:pPr>
        <w:pStyle w:val="FootnoteText"/>
        <w:rPr>
          <w:szCs w:val="18"/>
        </w:rPr>
      </w:pPr>
      <w:r w:rsidRPr="00A40033">
        <w:rPr>
          <w:rStyle w:val="FootnoteReference"/>
          <w:szCs w:val="18"/>
        </w:rPr>
        <w:footnoteRef/>
      </w:r>
      <w:r w:rsidRPr="00A40033">
        <w:rPr>
          <w:szCs w:val="18"/>
        </w:rPr>
        <w:t xml:space="preserve"> Article 23(13) of the Immigration Law.</w:t>
      </w:r>
    </w:p>
  </w:footnote>
  <w:footnote w:id="29">
    <w:p w14:paraId="6480964D" w14:textId="77777777" w:rsidR="00E40FE3" w:rsidRPr="00A40033" w:rsidRDefault="00E40FE3" w:rsidP="00A40033">
      <w:pPr>
        <w:pStyle w:val="FootnoteText"/>
        <w:rPr>
          <w:szCs w:val="18"/>
        </w:rPr>
      </w:pPr>
      <w:r w:rsidRPr="00A40033">
        <w:rPr>
          <w:rStyle w:val="FootnoteReference"/>
          <w:szCs w:val="18"/>
        </w:rPr>
        <w:footnoteRef/>
      </w:r>
      <w:r w:rsidRPr="00A40033">
        <w:rPr>
          <w:szCs w:val="18"/>
        </w:rPr>
        <w:t xml:space="preserve"> Directive 2011/98/EU of the European Parliament and of the Council of 13 December 2011 on a single application procedure for a single permit for third-country nationals to reside and work in the territory of a Member State and on a common set of rights for third-country workers legally residing in a Member State, OJ L 343, 23 December 2011, available at </w:t>
      </w:r>
      <w:hyperlink r:id="rId11" w:history="1">
        <w:r w:rsidRPr="00A40033">
          <w:rPr>
            <w:rStyle w:val="Hyperlink"/>
            <w:szCs w:val="18"/>
          </w:rPr>
          <w:t>https://eur-lex.europa.eu/legal-content/EN/ALL/?uri=CELEX:32011L0098</w:t>
        </w:r>
      </w:hyperlink>
      <w:r w:rsidRPr="00A40033">
        <w:rPr>
          <w:szCs w:val="18"/>
        </w:rPr>
        <w:t xml:space="preserve">. </w:t>
      </w:r>
    </w:p>
  </w:footnote>
  <w:footnote w:id="30">
    <w:p w14:paraId="3412F991" w14:textId="77777777" w:rsidR="00E40FE3" w:rsidRPr="00A40033" w:rsidRDefault="00E40FE3" w:rsidP="00A40033">
      <w:pPr>
        <w:pStyle w:val="FootnoteText"/>
        <w:rPr>
          <w:szCs w:val="18"/>
        </w:rPr>
      </w:pPr>
      <w:r w:rsidRPr="00A40033">
        <w:rPr>
          <w:rStyle w:val="FootnoteReference"/>
          <w:szCs w:val="18"/>
        </w:rPr>
        <w:footnoteRef/>
      </w:r>
      <w:r w:rsidRPr="00A40033">
        <w:rPr>
          <w:szCs w:val="18"/>
        </w:rPr>
        <w:t xml:space="preserve"> EMN and European Commission, ‘Ad-hoc query regarding transposition of the Directive 2011/98/EC on a single application procedure for a single permit’, compilation produced on 22 July 2013, available at </w:t>
      </w:r>
      <w:hyperlink r:id="rId12" w:history="1">
        <w:r w:rsidRPr="00A40033">
          <w:rPr>
            <w:rStyle w:val="Hyperlink"/>
            <w:szCs w:val="18"/>
          </w:rPr>
          <w:t>https://ec.europa.eu/home-affairs/sites/homeaffairs/files/what-we-do/networks/european_migration_network/reports/docs/ad-hoc-queries/eu-acquis/482__emn_ahq_on_transposition_of_directive_2011_98_ec_requested_9_june_2013_wider_dissemination.pdf</w:t>
        </w:r>
      </w:hyperlink>
      <w:r w:rsidRPr="00A40033">
        <w:rPr>
          <w:szCs w:val="18"/>
        </w:rPr>
        <w:t xml:space="preserve">; and </w:t>
      </w:r>
      <w:proofErr w:type="spellStart"/>
      <w:r w:rsidRPr="00A40033">
        <w:rPr>
          <w:szCs w:val="18"/>
        </w:rPr>
        <w:t>Tsargand</w:t>
      </w:r>
      <w:proofErr w:type="spellEnd"/>
      <w:r w:rsidRPr="00A40033">
        <w:rPr>
          <w:szCs w:val="18"/>
        </w:rPr>
        <w:t xml:space="preserve">, M., 2013, ‘Human rights of migrants in Latvia, are they fully implemented?’, available at </w:t>
      </w:r>
      <w:hyperlink r:id="rId13" w:history="1">
        <w:r w:rsidRPr="00A40033">
          <w:rPr>
            <w:rStyle w:val="Hyperlink"/>
            <w:szCs w:val="18"/>
          </w:rPr>
          <w:t>http://www.integration.lv/en/mira-tsargand-human-rights-of-migrants-in-latvia-are-they-fully-implemented-27122013</w:t>
        </w:r>
      </w:hyperlink>
      <w:r w:rsidRPr="00A40033">
        <w:rPr>
          <w:szCs w:val="18"/>
        </w:rPr>
        <w:t xml:space="preserve">. </w:t>
      </w:r>
    </w:p>
  </w:footnote>
  <w:footnote w:id="31">
    <w:p w14:paraId="1FB06613" w14:textId="77777777" w:rsidR="00E40FE3" w:rsidRPr="00A40033" w:rsidRDefault="00E40FE3" w:rsidP="00A40033">
      <w:pPr>
        <w:pStyle w:val="FootnoteText"/>
        <w:rPr>
          <w:szCs w:val="18"/>
        </w:rPr>
      </w:pPr>
      <w:r w:rsidRPr="00A40033">
        <w:rPr>
          <w:rStyle w:val="FootnoteReference"/>
          <w:szCs w:val="18"/>
        </w:rPr>
        <w:footnoteRef/>
      </w:r>
      <w:r w:rsidRPr="00A40033">
        <w:rPr>
          <w:szCs w:val="18"/>
        </w:rPr>
        <w:t xml:space="preserve"> Article 9(5), points 13-15, 24 and 26, of the Immigration Law.</w:t>
      </w:r>
    </w:p>
  </w:footnote>
  <w:footnote w:id="32">
    <w:p w14:paraId="653A1390" w14:textId="77777777" w:rsidR="00E40FE3" w:rsidRPr="00A40033" w:rsidRDefault="00E40FE3" w:rsidP="00A40033">
      <w:pPr>
        <w:pStyle w:val="FootnoteText"/>
        <w:rPr>
          <w:szCs w:val="18"/>
        </w:rPr>
      </w:pPr>
      <w:r w:rsidRPr="00A40033">
        <w:rPr>
          <w:rStyle w:val="FootnoteReference"/>
          <w:szCs w:val="18"/>
        </w:rPr>
        <w:footnoteRef/>
      </w:r>
      <w:r w:rsidRPr="00A40033">
        <w:rPr>
          <w:szCs w:val="18"/>
        </w:rPr>
        <w:t xml:space="preserve"> Information obtained from the OCMA; 16 July 2018.</w:t>
      </w:r>
    </w:p>
  </w:footnote>
  <w:footnote w:id="33">
    <w:p w14:paraId="55F591BB" w14:textId="77777777" w:rsidR="00893843" w:rsidRPr="00A40033" w:rsidRDefault="00893843" w:rsidP="00A40033">
      <w:pPr>
        <w:pStyle w:val="FootnoteText"/>
        <w:rPr>
          <w:szCs w:val="18"/>
        </w:rPr>
      </w:pPr>
      <w:r w:rsidRPr="00A40033">
        <w:rPr>
          <w:rStyle w:val="FootnoteReference"/>
          <w:szCs w:val="18"/>
        </w:rPr>
        <w:footnoteRef/>
      </w:r>
      <w:r w:rsidRPr="00A40033">
        <w:rPr>
          <w:szCs w:val="18"/>
        </w:rPr>
        <w:t xml:space="preserve"> Article 12 of the Law on Citizenship (</w:t>
      </w:r>
      <w:proofErr w:type="spellStart"/>
      <w:r w:rsidRPr="00A40033">
        <w:rPr>
          <w:i/>
          <w:szCs w:val="18"/>
        </w:rPr>
        <w:t>Pilsonības</w:t>
      </w:r>
      <w:proofErr w:type="spellEnd"/>
      <w:r w:rsidRPr="00A40033">
        <w:rPr>
          <w:i/>
          <w:szCs w:val="18"/>
        </w:rPr>
        <w:t xml:space="preserve"> </w:t>
      </w:r>
      <w:proofErr w:type="spellStart"/>
      <w:r w:rsidRPr="00A40033">
        <w:rPr>
          <w:i/>
          <w:szCs w:val="18"/>
        </w:rPr>
        <w:t>likums</w:t>
      </w:r>
      <w:proofErr w:type="spellEnd"/>
      <w:r w:rsidRPr="00A40033">
        <w:rPr>
          <w:szCs w:val="18"/>
        </w:rPr>
        <w:t>), OP: "</w:t>
      </w:r>
      <w:proofErr w:type="spellStart"/>
      <w:r w:rsidRPr="00A40033">
        <w:rPr>
          <w:szCs w:val="18"/>
        </w:rPr>
        <w:t>Latvijas</w:t>
      </w:r>
      <w:proofErr w:type="spellEnd"/>
      <w:r w:rsidRPr="00A40033">
        <w:rPr>
          <w:szCs w:val="18"/>
        </w:rPr>
        <w:t xml:space="preserve"> </w:t>
      </w:r>
      <w:proofErr w:type="spellStart"/>
      <w:r w:rsidRPr="00A40033">
        <w:rPr>
          <w:szCs w:val="18"/>
        </w:rPr>
        <w:t>Vēstnesis</w:t>
      </w:r>
      <w:proofErr w:type="spellEnd"/>
      <w:r w:rsidRPr="00A40033">
        <w:rPr>
          <w:szCs w:val="18"/>
        </w:rPr>
        <w:t xml:space="preserve">", 93 (224), 11.08.1994, available at: </w:t>
      </w:r>
      <w:hyperlink r:id="rId14" w:history="1">
        <w:r w:rsidRPr="00A40033">
          <w:rPr>
            <w:rStyle w:val="Hyperlink"/>
            <w:szCs w:val="18"/>
          </w:rPr>
          <w:t>https://likumi.lv/doc.php?id=57512</w:t>
        </w:r>
      </w:hyperlink>
      <w:r w:rsidRPr="00A40033">
        <w:rPr>
          <w:szCs w:val="18"/>
        </w:rPr>
        <w:t xml:space="preserve">.  </w:t>
      </w:r>
    </w:p>
  </w:footnote>
  <w:footnote w:id="34">
    <w:p w14:paraId="1BE9C7AF" w14:textId="7523DAEE" w:rsidR="00893843" w:rsidRPr="00A40033" w:rsidRDefault="00893843" w:rsidP="00A40033">
      <w:pPr>
        <w:pStyle w:val="FootnoteText"/>
        <w:rPr>
          <w:szCs w:val="18"/>
        </w:rPr>
      </w:pPr>
      <w:r w:rsidRPr="00A40033">
        <w:rPr>
          <w:rStyle w:val="FootnoteReference"/>
          <w:szCs w:val="18"/>
        </w:rPr>
        <w:footnoteRef/>
      </w:r>
      <w:r w:rsidRPr="00A40033">
        <w:rPr>
          <w:szCs w:val="18"/>
        </w:rPr>
        <w:t xml:space="preserve"> Data on the total number of issued temporary residence permits is available on the website of the OCMA: </w:t>
      </w:r>
      <w:hyperlink r:id="rId15" w:history="1">
        <w:r w:rsidRPr="00A40033">
          <w:rPr>
            <w:rStyle w:val="Hyperlink"/>
            <w:szCs w:val="18"/>
          </w:rPr>
          <w:t>http://www.pmlp.gov.lv/lv/assets/documents/vizuāļi/VISI__ES__01.01.17.pdf</w:t>
        </w:r>
      </w:hyperlink>
      <w:r w:rsidRPr="00A40033">
        <w:rPr>
          <w:szCs w:val="18"/>
        </w:rPr>
        <w:t>.</w:t>
      </w:r>
    </w:p>
  </w:footnote>
  <w:footnote w:id="35">
    <w:p w14:paraId="55B35DC3" w14:textId="32194537" w:rsidR="004F43EF" w:rsidRDefault="004F43EF">
      <w:pPr>
        <w:pStyle w:val="FootnoteText"/>
      </w:pPr>
      <w:r>
        <w:rPr>
          <w:rStyle w:val="FootnoteReference"/>
        </w:rPr>
        <w:footnoteRef/>
      </w:r>
      <w:r>
        <w:t xml:space="preserve"> </w:t>
      </w:r>
      <w:r w:rsidRPr="004F43EF">
        <w:rPr>
          <w:lang w:val="fr-FR"/>
        </w:rPr>
        <w:t xml:space="preserve">The OCMA 2017 Report on </w:t>
      </w:r>
      <w:proofErr w:type="spellStart"/>
      <w:r w:rsidRPr="004F43EF">
        <w:rPr>
          <w:lang w:val="fr-FR"/>
        </w:rPr>
        <w:t>progress</w:t>
      </w:r>
      <w:proofErr w:type="spellEnd"/>
      <w:r w:rsidRPr="004F43EF">
        <w:rPr>
          <w:lang w:val="fr-FR"/>
        </w:rPr>
        <w:t xml:space="preserve"> and </w:t>
      </w:r>
      <w:proofErr w:type="spellStart"/>
      <w:r w:rsidRPr="004F43EF">
        <w:rPr>
          <w:lang w:val="fr-FR"/>
        </w:rPr>
        <w:t>results</w:t>
      </w:r>
      <w:proofErr w:type="spellEnd"/>
      <w:r w:rsidRPr="004F43EF">
        <w:rPr>
          <w:lang w:val="fr-FR"/>
        </w:rPr>
        <w:t xml:space="preserve"> of </w:t>
      </w:r>
      <w:proofErr w:type="spellStart"/>
      <w:r w:rsidRPr="004F43EF">
        <w:rPr>
          <w:lang w:val="fr-FR"/>
        </w:rPr>
        <w:t>implementing</w:t>
      </w:r>
      <w:proofErr w:type="spellEnd"/>
      <w:r w:rsidRPr="004F43EF">
        <w:rPr>
          <w:lang w:val="fr-FR"/>
        </w:rPr>
        <w:t xml:space="preserve"> Article 23(1), points 3, 28, 29, 30 un 31 of the Immigration Law, </w:t>
      </w:r>
      <w:proofErr w:type="spellStart"/>
      <w:r w:rsidRPr="004F43EF">
        <w:rPr>
          <w:lang w:val="fr-FR"/>
        </w:rPr>
        <w:t>available</w:t>
      </w:r>
      <w:proofErr w:type="spellEnd"/>
      <w:r w:rsidRPr="004F43EF">
        <w:rPr>
          <w:lang w:val="fr-FR"/>
        </w:rPr>
        <w:t xml:space="preserve"> </w:t>
      </w:r>
      <w:proofErr w:type="gramStart"/>
      <w:r w:rsidRPr="004F43EF">
        <w:rPr>
          <w:lang w:val="fr-FR"/>
        </w:rPr>
        <w:t>at:</w:t>
      </w:r>
      <w:proofErr w:type="gramEnd"/>
      <w:r w:rsidRPr="004F43EF">
        <w:rPr>
          <w:lang w:val="fr-FR"/>
        </w:rPr>
        <w:t xml:space="preserve"> </w:t>
      </w:r>
      <w:hyperlink r:id="rId16" w:history="1">
        <w:r w:rsidRPr="004F43EF">
          <w:rPr>
            <w:rStyle w:val="Hyperlink"/>
            <w:lang w:val="fr-FR"/>
          </w:rPr>
          <w:t>http://tap.mk.gov.lv/lv/mk/tap/?pid=40441522</w:t>
        </w:r>
      </w:hyperlink>
      <w:r w:rsidRPr="004F43EF">
        <w:rPr>
          <w:lang w:val="fr-FR"/>
        </w:rPr>
        <w:t>.</w:t>
      </w:r>
    </w:p>
  </w:footnote>
  <w:footnote w:id="36">
    <w:p w14:paraId="6F406209" w14:textId="20E9589E" w:rsidR="00893843" w:rsidRPr="00A40033" w:rsidRDefault="00893843" w:rsidP="00A40033">
      <w:pPr>
        <w:pStyle w:val="FootnoteText"/>
        <w:rPr>
          <w:szCs w:val="18"/>
        </w:rPr>
      </w:pPr>
      <w:r w:rsidRPr="00A40033">
        <w:rPr>
          <w:rStyle w:val="FootnoteReference"/>
          <w:szCs w:val="18"/>
        </w:rPr>
        <w:footnoteRef/>
      </w:r>
      <w:r w:rsidRPr="00A40033">
        <w:rPr>
          <w:szCs w:val="18"/>
        </w:rPr>
        <w:t xml:space="preserve"> OECD Statistics on Latvia, available at: </w:t>
      </w:r>
      <w:hyperlink r:id="rId17" w:history="1">
        <w:r w:rsidRPr="00A40033">
          <w:rPr>
            <w:rStyle w:val="Hyperlink"/>
            <w:szCs w:val="18"/>
          </w:rPr>
          <w:t>https://stats.oecd.org/Index.aspx?DataSetCode=REVLVA</w:t>
        </w:r>
      </w:hyperlink>
      <w:r w:rsidRPr="00A40033">
        <w:rPr>
          <w:szCs w:val="18"/>
        </w:rPr>
        <w:t xml:space="preserve">.  </w:t>
      </w:r>
    </w:p>
  </w:footnote>
  <w:footnote w:id="37">
    <w:p w14:paraId="58E1FFD3" w14:textId="42366B9E" w:rsidR="00893843" w:rsidRPr="00A40033" w:rsidRDefault="00893843" w:rsidP="00A40033">
      <w:pPr>
        <w:pStyle w:val="FootnoteText"/>
        <w:rPr>
          <w:szCs w:val="18"/>
        </w:rPr>
      </w:pPr>
      <w:r w:rsidRPr="00A40033">
        <w:rPr>
          <w:rStyle w:val="FootnoteReference"/>
          <w:szCs w:val="18"/>
        </w:rPr>
        <w:footnoteRef/>
      </w:r>
      <w:r w:rsidRPr="00A40033">
        <w:rPr>
          <w:szCs w:val="18"/>
        </w:rPr>
        <w:t xml:space="preserve"> OCMA website, available at </w:t>
      </w:r>
      <w:hyperlink r:id="rId18" w:history="1">
        <w:r w:rsidRPr="00A40033">
          <w:rPr>
            <w:rStyle w:val="Hyperlink"/>
            <w:szCs w:val="18"/>
          </w:rPr>
          <w:t>https://www.lsm.lv/raksts/zinas/latvija/migracijas-dienests-pieprasijums-pec-investoru-uzturesanas-atlaujam-praktiski-beidzies.a254822/</w:t>
        </w:r>
      </w:hyperlink>
      <w:r w:rsidRPr="00A40033">
        <w:rPr>
          <w:szCs w:val="18"/>
        </w:rPr>
        <w:t xml:space="preserve">.  </w:t>
      </w:r>
    </w:p>
  </w:footnote>
  <w:footnote w:id="38">
    <w:p w14:paraId="7756ED67" w14:textId="4D140C3B" w:rsidR="00197D58" w:rsidRPr="00A40033" w:rsidRDefault="00197D58" w:rsidP="00A40033">
      <w:pPr>
        <w:pStyle w:val="FootnoteText"/>
        <w:rPr>
          <w:szCs w:val="18"/>
        </w:rPr>
      </w:pPr>
      <w:r w:rsidRPr="00A40033">
        <w:rPr>
          <w:rStyle w:val="FootnoteReference"/>
          <w:szCs w:val="18"/>
        </w:rPr>
        <w:footnoteRef/>
      </w:r>
      <w:r w:rsidRPr="00A40033">
        <w:rPr>
          <w:szCs w:val="18"/>
        </w:rPr>
        <w:t xml:space="preserve"> OCCPR: </w:t>
      </w:r>
      <w:hyperlink r:id="rId19" w:history="1">
        <w:r w:rsidRPr="004F43EF">
          <w:rPr>
            <w:rStyle w:val="Hyperlink"/>
            <w:szCs w:val="18"/>
          </w:rPr>
          <w:t>https://www.occrp.org/en/goldforvisas/latvias-once-golden-visas-lose-their-shine-but-why</w:t>
        </w:r>
      </w:hyperlink>
      <w:r w:rsidRPr="00A40033">
        <w:rPr>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35BD3"/>
    <w:multiLevelType w:val="hybridMultilevel"/>
    <w:tmpl w:val="F1D8AACC"/>
    <w:lvl w:ilvl="0" w:tplc="08130019">
      <w:start w:val="1"/>
      <w:numFmt w:val="lowerLetter"/>
      <w:lvlText w:val="%1."/>
      <w:lvlJc w:val="left"/>
      <w:pPr>
        <w:ind w:left="720" w:hanging="360"/>
      </w:pPr>
      <w:rPr>
        <w:rFonts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279078AB"/>
    <w:multiLevelType w:val="hybridMultilevel"/>
    <w:tmpl w:val="51F23D7A"/>
    <w:lvl w:ilvl="0" w:tplc="8FBEED3C">
      <w:start w:val="1"/>
      <w:numFmt w:val="bullet"/>
      <w:lvlText w:val=""/>
      <w:lvlJc w:val="left"/>
      <w:pPr>
        <w:ind w:left="720" w:hanging="360"/>
      </w:pPr>
      <w:rPr>
        <w:rFonts w:ascii="Wingdings" w:hAnsi="Wingdings" w:hint="default"/>
        <w:b w:val="0"/>
        <w:i w:val="0"/>
        <w:color w:val="4F81BD"/>
        <w:sz w:val="16"/>
        <w:u w:color="00008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28573DFB"/>
    <w:multiLevelType w:val="hybridMultilevel"/>
    <w:tmpl w:val="E95CED4C"/>
    <w:lvl w:ilvl="0" w:tplc="08090015">
      <w:start w:val="1"/>
      <w:numFmt w:val="bullet"/>
      <w:lvlText w:val=""/>
      <w:lvlJc w:val="left"/>
      <w:pPr>
        <w:ind w:left="780" w:hanging="360"/>
      </w:pPr>
      <w:rPr>
        <w:rFonts w:ascii="Wingdings" w:hAnsi="Wingdings" w:hint="default"/>
        <w:b w:val="0"/>
        <w:i w:val="0"/>
        <w:color w:val="4F81BD"/>
        <w:sz w:val="16"/>
        <w:u w:color="000080"/>
      </w:rPr>
    </w:lvl>
    <w:lvl w:ilvl="1" w:tplc="08130003" w:tentative="1">
      <w:start w:val="1"/>
      <w:numFmt w:val="bullet"/>
      <w:lvlText w:val="o"/>
      <w:lvlJc w:val="left"/>
      <w:pPr>
        <w:ind w:left="1500" w:hanging="360"/>
      </w:pPr>
      <w:rPr>
        <w:rFonts w:ascii="Courier New" w:hAnsi="Courier New" w:cs="Courier New" w:hint="default"/>
      </w:rPr>
    </w:lvl>
    <w:lvl w:ilvl="2" w:tplc="08130005" w:tentative="1">
      <w:start w:val="1"/>
      <w:numFmt w:val="bullet"/>
      <w:lvlText w:val=""/>
      <w:lvlJc w:val="left"/>
      <w:pPr>
        <w:ind w:left="2220" w:hanging="360"/>
      </w:pPr>
      <w:rPr>
        <w:rFonts w:ascii="Wingdings" w:hAnsi="Wingdings" w:hint="default"/>
      </w:rPr>
    </w:lvl>
    <w:lvl w:ilvl="3" w:tplc="08130001" w:tentative="1">
      <w:start w:val="1"/>
      <w:numFmt w:val="bullet"/>
      <w:lvlText w:val=""/>
      <w:lvlJc w:val="left"/>
      <w:pPr>
        <w:ind w:left="2940" w:hanging="360"/>
      </w:pPr>
      <w:rPr>
        <w:rFonts w:ascii="Symbol" w:hAnsi="Symbol" w:hint="default"/>
      </w:rPr>
    </w:lvl>
    <w:lvl w:ilvl="4" w:tplc="08130003" w:tentative="1">
      <w:start w:val="1"/>
      <w:numFmt w:val="bullet"/>
      <w:lvlText w:val="o"/>
      <w:lvlJc w:val="left"/>
      <w:pPr>
        <w:ind w:left="3660" w:hanging="360"/>
      </w:pPr>
      <w:rPr>
        <w:rFonts w:ascii="Courier New" w:hAnsi="Courier New" w:cs="Courier New" w:hint="default"/>
      </w:rPr>
    </w:lvl>
    <w:lvl w:ilvl="5" w:tplc="08130005" w:tentative="1">
      <w:start w:val="1"/>
      <w:numFmt w:val="bullet"/>
      <w:lvlText w:val=""/>
      <w:lvlJc w:val="left"/>
      <w:pPr>
        <w:ind w:left="4380" w:hanging="360"/>
      </w:pPr>
      <w:rPr>
        <w:rFonts w:ascii="Wingdings" w:hAnsi="Wingdings" w:hint="default"/>
      </w:rPr>
    </w:lvl>
    <w:lvl w:ilvl="6" w:tplc="08130001" w:tentative="1">
      <w:start w:val="1"/>
      <w:numFmt w:val="bullet"/>
      <w:lvlText w:val=""/>
      <w:lvlJc w:val="left"/>
      <w:pPr>
        <w:ind w:left="5100" w:hanging="360"/>
      </w:pPr>
      <w:rPr>
        <w:rFonts w:ascii="Symbol" w:hAnsi="Symbol" w:hint="default"/>
      </w:rPr>
    </w:lvl>
    <w:lvl w:ilvl="7" w:tplc="08130003" w:tentative="1">
      <w:start w:val="1"/>
      <w:numFmt w:val="bullet"/>
      <w:lvlText w:val="o"/>
      <w:lvlJc w:val="left"/>
      <w:pPr>
        <w:ind w:left="5820" w:hanging="360"/>
      </w:pPr>
      <w:rPr>
        <w:rFonts w:ascii="Courier New" w:hAnsi="Courier New" w:cs="Courier New" w:hint="default"/>
      </w:rPr>
    </w:lvl>
    <w:lvl w:ilvl="8" w:tplc="08130005" w:tentative="1">
      <w:start w:val="1"/>
      <w:numFmt w:val="bullet"/>
      <w:lvlText w:val=""/>
      <w:lvlJc w:val="left"/>
      <w:pPr>
        <w:ind w:left="6540" w:hanging="360"/>
      </w:pPr>
      <w:rPr>
        <w:rFonts w:ascii="Wingdings" w:hAnsi="Wingdings" w:hint="default"/>
      </w:rPr>
    </w:lvl>
  </w:abstractNum>
  <w:abstractNum w:abstractNumId="3" w15:restartNumberingAfterBreak="0">
    <w:nsid w:val="3BD22741"/>
    <w:multiLevelType w:val="multilevel"/>
    <w:tmpl w:val="9C94776A"/>
    <w:lvl w:ilvl="0">
      <w:start w:val="1"/>
      <w:numFmt w:val="bullet"/>
      <w:pStyle w:val="MMultilevel"/>
      <w:lvlText w:val=""/>
      <w:lvlJc w:val="left"/>
      <w:pPr>
        <w:ind w:left="425" w:hanging="425"/>
      </w:pPr>
      <w:rPr>
        <w:rFonts w:ascii="Wingdings" w:hAnsi="Wingdings" w:hint="default"/>
        <w:caps w:val="0"/>
        <w:strike w:val="0"/>
        <w:dstrike w:val="0"/>
        <w:vanish w:val="0"/>
        <w:color w:val="4472C4" w:themeColor="accent1"/>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7AB8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5DB35573"/>
    <w:multiLevelType w:val="hybridMultilevel"/>
    <w:tmpl w:val="A66869E6"/>
    <w:lvl w:ilvl="0" w:tplc="443C4320">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5" w15:restartNumberingAfterBreak="0">
    <w:nsid w:val="5FB60709"/>
    <w:multiLevelType w:val="hybridMultilevel"/>
    <w:tmpl w:val="4A16BEBA"/>
    <w:lvl w:ilvl="0" w:tplc="8FBEED3C">
      <w:start w:val="1"/>
      <w:numFmt w:val="bullet"/>
      <w:lvlText w:val=""/>
      <w:lvlJc w:val="left"/>
      <w:pPr>
        <w:ind w:left="720" w:hanging="360"/>
      </w:pPr>
      <w:rPr>
        <w:rFonts w:ascii="Wingdings" w:hAnsi="Wingdings" w:hint="default"/>
        <w:b w:val="0"/>
        <w:i w:val="0"/>
        <w:color w:val="4F81BD"/>
        <w:sz w:val="16"/>
        <w:u w:color="000080"/>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606C5B2D"/>
    <w:multiLevelType w:val="hybridMultilevel"/>
    <w:tmpl w:val="A66869E6"/>
    <w:lvl w:ilvl="0" w:tplc="443C4320">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7" w15:restartNumberingAfterBreak="0">
    <w:nsid w:val="63CA1252"/>
    <w:multiLevelType w:val="multilevel"/>
    <w:tmpl w:val="D5D6F558"/>
    <w:lvl w:ilvl="0">
      <w:start w:val="1"/>
      <w:numFmt w:val="bullet"/>
      <w:lvlText w:val="-"/>
      <w:lvlJc w:val="left"/>
      <w:pPr>
        <w:ind w:left="425" w:hanging="425"/>
      </w:pPr>
      <w:rPr>
        <w:rFonts w:ascii="Times New Roman" w:eastAsia="Times New Roman" w:hAnsi="Times New Roman" w:cs="Times New Roman"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FF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650534A2"/>
    <w:multiLevelType w:val="hybridMultilevel"/>
    <w:tmpl w:val="4CE8E7A0"/>
    <w:lvl w:ilvl="0" w:tplc="70B65422">
      <w:numFmt w:val="bullet"/>
      <w:lvlText w:val="-"/>
      <w:lvlJc w:val="left"/>
      <w:pPr>
        <w:ind w:left="720" w:hanging="360"/>
      </w:pPr>
      <w:rPr>
        <w:rFonts w:ascii="Times New Roman" w:eastAsia="Times New Roman" w:hAnsi="Times New Roman" w:cs="Times New Roman"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782732E1"/>
    <w:multiLevelType w:val="hybridMultilevel"/>
    <w:tmpl w:val="497C6FA2"/>
    <w:lvl w:ilvl="0" w:tplc="08090015">
      <w:start w:val="1"/>
      <w:numFmt w:val="bullet"/>
      <w:lvlText w:val=""/>
      <w:lvlJc w:val="left"/>
      <w:pPr>
        <w:ind w:left="720" w:hanging="360"/>
      </w:pPr>
      <w:rPr>
        <w:rFonts w:ascii="Wingdings" w:hAnsi="Wingdings" w:hint="default"/>
        <w:b w:val="0"/>
        <w:i w:val="0"/>
        <w:color w:val="4F81BD"/>
        <w:sz w:val="16"/>
        <w:u w:color="00008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7B816433"/>
    <w:multiLevelType w:val="hybridMultilevel"/>
    <w:tmpl w:val="A66869E6"/>
    <w:lvl w:ilvl="0" w:tplc="443C4320">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1" w15:restartNumberingAfterBreak="0">
    <w:nsid w:val="7C620C38"/>
    <w:multiLevelType w:val="hybridMultilevel"/>
    <w:tmpl w:val="030883F0"/>
    <w:lvl w:ilvl="0" w:tplc="8FBEED3C">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3"/>
  </w:num>
  <w:num w:numId="4">
    <w:abstractNumId w:val="7"/>
  </w:num>
  <w:num w:numId="5">
    <w:abstractNumId w:val="3"/>
  </w:num>
  <w:num w:numId="6">
    <w:abstractNumId w:val="3"/>
  </w:num>
  <w:num w:numId="7">
    <w:abstractNumId w:val="3"/>
  </w:num>
  <w:num w:numId="8">
    <w:abstractNumId w:val="11"/>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0"/>
  </w:num>
  <w:num w:numId="19">
    <w:abstractNumId w:val="8"/>
  </w:num>
  <w:num w:numId="20">
    <w:abstractNumId w:val="1"/>
  </w:num>
  <w:num w:numId="21">
    <w:abstractNumId w:val="10"/>
  </w:num>
  <w:num w:numId="22">
    <w:abstractNumId w:val="4"/>
  </w:num>
  <w:num w:numId="23">
    <w:abstractNumId w:val="6"/>
  </w:num>
  <w:num w:numId="24">
    <w:abstractNumId w:val="5"/>
  </w:num>
  <w:num w:numId="25">
    <w:abstractNumId w:val="2"/>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631E0"/>
    <w:rsid w:val="00040BAD"/>
    <w:rsid w:val="00076591"/>
    <w:rsid w:val="00095AEA"/>
    <w:rsid w:val="000B2D69"/>
    <w:rsid w:val="000C0B10"/>
    <w:rsid w:val="000D1BD8"/>
    <w:rsid w:val="000E22A7"/>
    <w:rsid w:val="000E32F3"/>
    <w:rsid w:val="00101BE1"/>
    <w:rsid w:val="00144994"/>
    <w:rsid w:val="00150F96"/>
    <w:rsid w:val="00150F9A"/>
    <w:rsid w:val="001514A4"/>
    <w:rsid w:val="001821A0"/>
    <w:rsid w:val="00182D84"/>
    <w:rsid w:val="001907D6"/>
    <w:rsid w:val="00197B64"/>
    <w:rsid w:val="00197D58"/>
    <w:rsid w:val="001A58A9"/>
    <w:rsid w:val="001D6E9D"/>
    <w:rsid w:val="001E0872"/>
    <w:rsid w:val="001F65BC"/>
    <w:rsid w:val="0020411B"/>
    <w:rsid w:val="002166E1"/>
    <w:rsid w:val="002177B9"/>
    <w:rsid w:val="00236707"/>
    <w:rsid w:val="00242966"/>
    <w:rsid w:val="002A4AFA"/>
    <w:rsid w:val="002B3BD9"/>
    <w:rsid w:val="002B428F"/>
    <w:rsid w:val="002D084B"/>
    <w:rsid w:val="003217DB"/>
    <w:rsid w:val="0032580C"/>
    <w:rsid w:val="00355387"/>
    <w:rsid w:val="003631E0"/>
    <w:rsid w:val="0037553F"/>
    <w:rsid w:val="003826AA"/>
    <w:rsid w:val="003C7EE3"/>
    <w:rsid w:val="003E27FD"/>
    <w:rsid w:val="00412AC4"/>
    <w:rsid w:val="004258F9"/>
    <w:rsid w:val="00431EAC"/>
    <w:rsid w:val="00435360"/>
    <w:rsid w:val="004534F2"/>
    <w:rsid w:val="00462B96"/>
    <w:rsid w:val="00467FE2"/>
    <w:rsid w:val="00472CEE"/>
    <w:rsid w:val="004A75A2"/>
    <w:rsid w:val="004C0D35"/>
    <w:rsid w:val="004C106A"/>
    <w:rsid w:val="004E0809"/>
    <w:rsid w:val="004F43EF"/>
    <w:rsid w:val="00520C4C"/>
    <w:rsid w:val="00544A72"/>
    <w:rsid w:val="00546B1A"/>
    <w:rsid w:val="00582612"/>
    <w:rsid w:val="005C656C"/>
    <w:rsid w:val="005F233A"/>
    <w:rsid w:val="005F4C76"/>
    <w:rsid w:val="00670C44"/>
    <w:rsid w:val="00680DC4"/>
    <w:rsid w:val="00686520"/>
    <w:rsid w:val="006B2B9E"/>
    <w:rsid w:val="006C3006"/>
    <w:rsid w:val="006E622E"/>
    <w:rsid w:val="006E76E1"/>
    <w:rsid w:val="006F606C"/>
    <w:rsid w:val="00717D47"/>
    <w:rsid w:val="00742DB3"/>
    <w:rsid w:val="00742ECC"/>
    <w:rsid w:val="00771B4C"/>
    <w:rsid w:val="007802B0"/>
    <w:rsid w:val="007A084E"/>
    <w:rsid w:val="007C72E2"/>
    <w:rsid w:val="007E562E"/>
    <w:rsid w:val="008158CC"/>
    <w:rsid w:val="0083617B"/>
    <w:rsid w:val="0085426F"/>
    <w:rsid w:val="00863541"/>
    <w:rsid w:val="00893843"/>
    <w:rsid w:val="008A205A"/>
    <w:rsid w:val="008E714B"/>
    <w:rsid w:val="009044C3"/>
    <w:rsid w:val="009061C9"/>
    <w:rsid w:val="009163FD"/>
    <w:rsid w:val="00945DB9"/>
    <w:rsid w:val="009A620A"/>
    <w:rsid w:val="009C5354"/>
    <w:rsid w:val="009D5200"/>
    <w:rsid w:val="009E7A78"/>
    <w:rsid w:val="009F0EEA"/>
    <w:rsid w:val="009F3F0F"/>
    <w:rsid w:val="00A24DDA"/>
    <w:rsid w:val="00A40033"/>
    <w:rsid w:val="00A606F1"/>
    <w:rsid w:val="00A8237A"/>
    <w:rsid w:val="00A90A49"/>
    <w:rsid w:val="00AB4D70"/>
    <w:rsid w:val="00AE574E"/>
    <w:rsid w:val="00AE7D51"/>
    <w:rsid w:val="00AF618E"/>
    <w:rsid w:val="00AF6CB9"/>
    <w:rsid w:val="00B06E9D"/>
    <w:rsid w:val="00B07F9F"/>
    <w:rsid w:val="00B21265"/>
    <w:rsid w:val="00B40CC8"/>
    <w:rsid w:val="00B666F6"/>
    <w:rsid w:val="00B91958"/>
    <w:rsid w:val="00BD2601"/>
    <w:rsid w:val="00BE65AB"/>
    <w:rsid w:val="00BF37F0"/>
    <w:rsid w:val="00C20061"/>
    <w:rsid w:val="00C22DDF"/>
    <w:rsid w:val="00C33E27"/>
    <w:rsid w:val="00C400C1"/>
    <w:rsid w:val="00C6074C"/>
    <w:rsid w:val="00C612FB"/>
    <w:rsid w:val="00C65573"/>
    <w:rsid w:val="00C82619"/>
    <w:rsid w:val="00C84AA1"/>
    <w:rsid w:val="00C97A15"/>
    <w:rsid w:val="00CA053E"/>
    <w:rsid w:val="00CD0615"/>
    <w:rsid w:val="00CD7CE4"/>
    <w:rsid w:val="00CE11B6"/>
    <w:rsid w:val="00CE190B"/>
    <w:rsid w:val="00CF0C98"/>
    <w:rsid w:val="00D00CD2"/>
    <w:rsid w:val="00D137C2"/>
    <w:rsid w:val="00D26993"/>
    <w:rsid w:val="00D40111"/>
    <w:rsid w:val="00D423F3"/>
    <w:rsid w:val="00D44DAF"/>
    <w:rsid w:val="00D8511D"/>
    <w:rsid w:val="00DA6D1B"/>
    <w:rsid w:val="00DC7685"/>
    <w:rsid w:val="00DE1D39"/>
    <w:rsid w:val="00DF7F7A"/>
    <w:rsid w:val="00E3671F"/>
    <w:rsid w:val="00E40FE3"/>
    <w:rsid w:val="00E64B4A"/>
    <w:rsid w:val="00E77F5C"/>
    <w:rsid w:val="00E84350"/>
    <w:rsid w:val="00E9404C"/>
    <w:rsid w:val="00EA7D44"/>
    <w:rsid w:val="00EC4F75"/>
    <w:rsid w:val="00EF6BF2"/>
    <w:rsid w:val="00F16530"/>
    <w:rsid w:val="00F24869"/>
    <w:rsid w:val="00F30040"/>
    <w:rsid w:val="00F32385"/>
    <w:rsid w:val="00F35CD7"/>
    <w:rsid w:val="00F434CE"/>
    <w:rsid w:val="00F55E4C"/>
    <w:rsid w:val="00F56B46"/>
    <w:rsid w:val="00FD18EC"/>
    <w:rsid w:val="00FD755B"/>
    <w:rsid w:val="00FE7DA4"/>
    <w:rsid w:val="00FF67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D221B"/>
  <w15:docId w15:val="{8918AC7D-9226-456F-BCD3-C29A92132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18"/>
        <w:szCs w:val="18"/>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3631E0"/>
    <w:pPr>
      <w:keepNext/>
      <w:pageBreakBefore/>
      <w:spacing w:after="480" w:line="240" w:lineRule="auto"/>
      <w:jc w:val="both"/>
      <w:outlineLvl w:val="0"/>
    </w:pPr>
    <w:rPr>
      <w:rFonts w:ascii="Century Gothic" w:eastAsia="Times New Roman" w:hAnsi="Century Gothic"/>
      <w:b/>
      <w:caps/>
      <w:sz w:val="24"/>
      <w:szCs w:val="24"/>
      <w:lang w:eastAsia="fr-FR"/>
    </w:rPr>
  </w:style>
  <w:style w:type="character" w:customStyle="1" w:styleId="MH1nonumbChar">
    <w:name w:val="M H 1 no numb Char"/>
    <w:link w:val="MH1nonumb"/>
    <w:rsid w:val="003631E0"/>
    <w:rPr>
      <w:rFonts w:ascii="Century Gothic" w:eastAsia="Times New Roman" w:hAnsi="Century Gothic"/>
      <w:b/>
      <w:caps/>
      <w:sz w:val="24"/>
      <w:szCs w:val="24"/>
      <w:lang w:eastAsia="fr-FR"/>
    </w:rPr>
  </w:style>
  <w:style w:type="paragraph" w:customStyle="1" w:styleId="MMultilevel">
    <w:name w:val="M Multilevel"/>
    <w:basedOn w:val="Normal"/>
    <w:link w:val="MMultilevelChar"/>
    <w:qFormat/>
    <w:rsid w:val="002A4AFA"/>
    <w:pPr>
      <w:widowControl w:val="0"/>
      <w:numPr>
        <w:numId w:val="1"/>
      </w:numPr>
      <w:spacing w:after="0" w:line="240" w:lineRule="auto"/>
      <w:jc w:val="both"/>
    </w:pPr>
    <w:rPr>
      <w:rFonts w:eastAsia="Times New Roman"/>
      <w:bCs/>
      <w:sz w:val="22"/>
      <w:szCs w:val="22"/>
      <w:lang w:val="en-US" w:eastAsia="fr-FR"/>
    </w:rPr>
  </w:style>
  <w:style w:type="character" w:customStyle="1" w:styleId="MMultilevelChar">
    <w:name w:val="M Multilevel Char"/>
    <w:link w:val="MMultilevel"/>
    <w:rsid w:val="002A4AFA"/>
    <w:rPr>
      <w:rFonts w:eastAsia="Times New Roman"/>
      <w:bCs/>
      <w:sz w:val="22"/>
      <w:szCs w:val="22"/>
      <w:lang w:val="en-US" w:eastAsia="fr-FR"/>
    </w:rPr>
  </w:style>
  <w:style w:type="paragraph" w:styleId="ListParagraph">
    <w:name w:val="List Paragraph"/>
    <w:aliases w:val="Heading 2_sj,List Paragraph1"/>
    <w:basedOn w:val="Normal"/>
    <w:uiPriority w:val="34"/>
    <w:qFormat/>
    <w:rsid w:val="001907D6"/>
    <w:pPr>
      <w:ind w:left="720"/>
      <w:contextualSpacing/>
    </w:pPr>
  </w:style>
  <w:style w:type="paragraph" w:customStyle="1" w:styleId="MBT">
    <w:name w:val="M BT"/>
    <w:basedOn w:val="Normal"/>
    <w:link w:val="MBTChar"/>
    <w:qFormat/>
    <w:rsid w:val="002177B9"/>
    <w:pPr>
      <w:widowControl w:val="0"/>
      <w:spacing w:after="0" w:line="240" w:lineRule="auto"/>
      <w:jc w:val="both"/>
    </w:pPr>
    <w:rPr>
      <w:rFonts w:eastAsia="Times New Roman"/>
      <w:bCs/>
      <w:sz w:val="22"/>
      <w:szCs w:val="22"/>
      <w:lang w:val="en-US" w:eastAsia="fr-FR"/>
    </w:rPr>
  </w:style>
  <w:style w:type="character" w:customStyle="1" w:styleId="MBTChar">
    <w:name w:val="M BT Char"/>
    <w:link w:val="MBT"/>
    <w:rsid w:val="002177B9"/>
    <w:rPr>
      <w:rFonts w:eastAsia="Times New Roman"/>
      <w:bCs/>
      <w:sz w:val="22"/>
      <w:szCs w:val="22"/>
      <w:lang w:val="en-US" w:eastAsia="fr-FR"/>
    </w:rPr>
  </w:style>
  <w:style w:type="character" w:styleId="CommentReference">
    <w:name w:val="annotation reference"/>
    <w:basedOn w:val="DefaultParagraphFont"/>
    <w:uiPriority w:val="99"/>
    <w:semiHidden/>
    <w:unhideWhenUsed/>
    <w:rsid w:val="00C20061"/>
    <w:rPr>
      <w:sz w:val="16"/>
      <w:szCs w:val="16"/>
    </w:rPr>
  </w:style>
  <w:style w:type="paragraph" w:styleId="CommentText">
    <w:name w:val="annotation text"/>
    <w:basedOn w:val="Normal"/>
    <w:link w:val="CommentTextChar"/>
    <w:uiPriority w:val="99"/>
    <w:unhideWhenUsed/>
    <w:rsid w:val="00C20061"/>
    <w:pPr>
      <w:spacing w:line="240" w:lineRule="auto"/>
    </w:pPr>
    <w:rPr>
      <w:sz w:val="20"/>
      <w:szCs w:val="20"/>
    </w:rPr>
  </w:style>
  <w:style w:type="character" w:customStyle="1" w:styleId="CommentTextChar">
    <w:name w:val="Comment Text Char"/>
    <w:basedOn w:val="DefaultParagraphFont"/>
    <w:link w:val="CommentText"/>
    <w:uiPriority w:val="99"/>
    <w:rsid w:val="00C20061"/>
    <w:rPr>
      <w:sz w:val="20"/>
      <w:szCs w:val="20"/>
    </w:rPr>
  </w:style>
  <w:style w:type="paragraph" w:styleId="CommentSubject">
    <w:name w:val="annotation subject"/>
    <w:basedOn w:val="CommentText"/>
    <w:next w:val="CommentText"/>
    <w:link w:val="CommentSubjectChar"/>
    <w:uiPriority w:val="99"/>
    <w:semiHidden/>
    <w:unhideWhenUsed/>
    <w:rsid w:val="00C20061"/>
    <w:rPr>
      <w:b/>
      <w:bCs/>
    </w:rPr>
  </w:style>
  <w:style w:type="character" w:customStyle="1" w:styleId="CommentSubjectChar">
    <w:name w:val="Comment Subject Char"/>
    <w:basedOn w:val="CommentTextChar"/>
    <w:link w:val="CommentSubject"/>
    <w:uiPriority w:val="99"/>
    <w:semiHidden/>
    <w:rsid w:val="00C20061"/>
    <w:rPr>
      <w:b/>
      <w:bCs/>
      <w:sz w:val="20"/>
      <w:szCs w:val="20"/>
    </w:rPr>
  </w:style>
  <w:style w:type="paragraph" w:styleId="BalloonText">
    <w:name w:val="Balloon Text"/>
    <w:basedOn w:val="Normal"/>
    <w:link w:val="BalloonTextChar"/>
    <w:uiPriority w:val="99"/>
    <w:semiHidden/>
    <w:unhideWhenUsed/>
    <w:rsid w:val="00C20061"/>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C20061"/>
    <w:rPr>
      <w:rFonts w:ascii="Segoe UI" w:hAnsi="Segoe UI" w:cs="Segoe UI"/>
    </w:rPr>
  </w:style>
  <w:style w:type="paragraph" w:styleId="Revision">
    <w:name w:val="Revision"/>
    <w:hidden/>
    <w:uiPriority w:val="99"/>
    <w:semiHidden/>
    <w:rsid w:val="00040BAD"/>
    <w:pPr>
      <w:spacing w:after="0" w:line="240" w:lineRule="auto"/>
    </w:pPr>
  </w:style>
  <w:style w:type="character" w:styleId="Hyperlink">
    <w:name w:val="Hyperlink"/>
    <w:uiPriority w:val="99"/>
    <w:rsid w:val="00BE65AB"/>
    <w:rPr>
      <w:color w:val="0000FF"/>
      <w:u w:val="single"/>
    </w:rPr>
  </w:style>
  <w:style w:type="character" w:styleId="FootnoteReference">
    <w:name w:val="footnote reference"/>
    <w:aliases w:val="Footnote Refernece,BVI fnr,callout,16 Point,Superscript 6 Point,Odwołanie przypisu,Footnote symbol,Footnote Reference Number,Footnote Reference Superscript,SUPERS,Times 10 Point,Exposant 3 Point,Ref,de nota al pie,number, BVI fnr,FR,F"/>
    <w:uiPriority w:val="99"/>
    <w:qFormat/>
    <w:rsid w:val="00BE65AB"/>
    <w:rPr>
      <w:vertAlign w:val="superscript"/>
    </w:rPr>
  </w:style>
  <w:style w:type="paragraph" w:styleId="FootnoteText">
    <w:name w:val="footnote text"/>
    <w:aliases w:val="M Footnotes"/>
    <w:basedOn w:val="Normal"/>
    <w:link w:val="FootnoteTextChar"/>
    <w:uiPriority w:val="99"/>
    <w:qFormat/>
    <w:rsid w:val="00BE65AB"/>
    <w:pPr>
      <w:spacing w:after="0" w:line="240" w:lineRule="auto"/>
      <w:jc w:val="both"/>
    </w:pPr>
    <w:rPr>
      <w:rFonts w:eastAsia="Times New Roman"/>
      <w:szCs w:val="22"/>
      <w:lang w:eastAsia="fr-FR"/>
    </w:rPr>
  </w:style>
  <w:style w:type="character" w:customStyle="1" w:styleId="FootnoteTextChar">
    <w:name w:val="Footnote Text Char"/>
    <w:aliases w:val="M Footnotes Char"/>
    <w:basedOn w:val="DefaultParagraphFont"/>
    <w:link w:val="FootnoteText"/>
    <w:uiPriority w:val="99"/>
    <w:rsid w:val="00BE65AB"/>
    <w:rPr>
      <w:rFonts w:eastAsia="Times New Roman"/>
      <w:szCs w:val="22"/>
      <w:lang w:eastAsia="fr-FR"/>
    </w:rPr>
  </w:style>
  <w:style w:type="paragraph" w:styleId="NormalWeb">
    <w:name w:val="Normal (Web)"/>
    <w:basedOn w:val="Normal"/>
    <w:uiPriority w:val="99"/>
    <w:unhideWhenUsed/>
    <w:rsid w:val="00BE65AB"/>
    <w:pPr>
      <w:spacing w:before="100" w:beforeAutospacing="1" w:after="100" w:afterAutospacing="1" w:line="240" w:lineRule="auto"/>
    </w:pPr>
    <w:rPr>
      <w:rFonts w:eastAsia="Times New Roman"/>
      <w:sz w:val="24"/>
      <w:szCs w:val="24"/>
      <w:lang w:val="nl-BE" w:eastAsia="nl-BE"/>
    </w:rPr>
  </w:style>
  <w:style w:type="table" w:styleId="ListTable3-Accent1">
    <w:name w:val="List Table 3 Accent 1"/>
    <w:basedOn w:val="TableNormal"/>
    <w:uiPriority w:val="48"/>
    <w:rsid w:val="00C22DDF"/>
    <w:pPr>
      <w:spacing w:after="0" w:line="240" w:lineRule="auto"/>
    </w:pPr>
    <w:rPr>
      <w:rFonts w:eastAsia="Times New Roman"/>
      <w:sz w:val="20"/>
      <w:szCs w:val="20"/>
      <w:lang w:eastAsia="en-GB"/>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Grid">
    <w:name w:val="Table Grid"/>
    <w:basedOn w:val="TableNormal"/>
    <w:uiPriority w:val="39"/>
    <w:rsid w:val="00D26993"/>
    <w:pPr>
      <w:spacing w:after="0" w:line="240" w:lineRule="auto"/>
    </w:pPr>
    <w:rPr>
      <w:rFonts w:eastAsia="Times New Roman"/>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semiHidden/>
    <w:unhideWhenUsed/>
    <w:rsid w:val="00CD0615"/>
    <w:pPr>
      <w:spacing w:after="100"/>
    </w:pPr>
  </w:style>
  <w:style w:type="character" w:styleId="FollowedHyperlink">
    <w:name w:val="FollowedHyperlink"/>
    <w:basedOn w:val="DefaultParagraphFont"/>
    <w:uiPriority w:val="99"/>
    <w:semiHidden/>
    <w:unhideWhenUsed/>
    <w:rsid w:val="00101BE1"/>
    <w:rPr>
      <w:color w:val="954F72" w:themeColor="followedHyperlink"/>
      <w:u w:val="single"/>
    </w:rPr>
  </w:style>
  <w:style w:type="paragraph" w:styleId="Header">
    <w:name w:val="header"/>
    <w:basedOn w:val="Normal"/>
    <w:link w:val="HeaderChar"/>
    <w:uiPriority w:val="99"/>
    <w:unhideWhenUsed/>
    <w:rsid w:val="00E40F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0FE3"/>
  </w:style>
  <w:style w:type="paragraph" w:styleId="Footer">
    <w:name w:val="footer"/>
    <w:basedOn w:val="Normal"/>
    <w:link w:val="FooterChar"/>
    <w:uiPriority w:val="99"/>
    <w:unhideWhenUsed/>
    <w:rsid w:val="00E40F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0FE3"/>
  </w:style>
  <w:style w:type="character" w:styleId="UnresolvedMention">
    <w:name w:val="Unresolved Mention"/>
    <w:basedOn w:val="DefaultParagraphFont"/>
    <w:uiPriority w:val="99"/>
    <w:semiHidden/>
    <w:unhideWhenUsed/>
    <w:rsid w:val="004F43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631932">
      <w:bodyDiv w:val="1"/>
      <w:marLeft w:val="0"/>
      <w:marRight w:val="0"/>
      <w:marTop w:val="0"/>
      <w:marBottom w:val="0"/>
      <w:divBdr>
        <w:top w:val="none" w:sz="0" w:space="0" w:color="auto"/>
        <w:left w:val="none" w:sz="0" w:space="0" w:color="auto"/>
        <w:bottom w:val="none" w:sz="0" w:space="0" w:color="auto"/>
        <w:right w:val="none" w:sz="0" w:space="0" w:color="auto"/>
      </w:divBdr>
    </w:div>
    <w:div w:id="713890345">
      <w:bodyDiv w:val="1"/>
      <w:marLeft w:val="0"/>
      <w:marRight w:val="0"/>
      <w:marTop w:val="0"/>
      <w:marBottom w:val="0"/>
      <w:divBdr>
        <w:top w:val="none" w:sz="0" w:space="0" w:color="auto"/>
        <w:left w:val="none" w:sz="0" w:space="0" w:color="auto"/>
        <w:bottom w:val="none" w:sz="0" w:space="0" w:color="auto"/>
        <w:right w:val="none" w:sz="0" w:space="0" w:color="auto"/>
      </w:divBdr>
    </w:div>
    <w:div w:id="777484494">
      <w:bodyDiv w:val="1"/>
      <w:marLeft w:val="0"/>
      <w:marRight w:val="0"/>
      <w:marTop w:val="0"/>
      <w:marBottom w:val="0"/>
      <w:divBdr>
        <w:top w:val="none" w:sz="0" w:space="0" w:color="auto"/>
        <w:left w:val="none" w:sz="0" w:space="0" w:color="auto"/>
        <w:bottom w:val="none" w:sz="0" w:space="0" w:color="auto"/>
        <w:right w:val="none" w:sz="0" w:space="0" w:color="auto"/>
      </w:divBdr>
    </w:div>
    <w:div w:id="1024593959">
      <w:bodyDiv w:val="1"/>
      <w:marLeft w:val="0"/>
      <w:marRight w:val="0"/>
      <w:marTop w:val="0"/>
      <w:marBottom w:val="0"/>
      <w:divBdr>
        <w:top w:val="none" w:sz="0" w:space="0" w:color="auto"/>
        <w:left w:val="none" w:sz="0" w:space="0" w:color="auto"/>
        <w:bottom w:val="none" w:sz="0" w:space="0" w:color="auto"/>
        <w:right w:val="none" w:sz="0" w:space="0" w:color="auto"/>
      </w:divBdr>
    </w:div>
    <w:div w:id="183187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aliedetiba.saeima.lv/en/" TargetMode="External"/><Relationship Id="rId13" Type="http://schemas.openxmlformats.org/officeDocument/2006/relationships/hyperlink" Target="http://www.integration.lv/en/mira-tsargand-human-rights-of-migrants-in-latvia-are-they-fully-implemented-27122013" TargetMode="External"/><Relationship Id="rId18" Type="http://schemas.openxmlformats.org/officeDocument/2006/relationships/hyperlink" Target="https://www.lsm.lv/raksts/zinas/latvija/migracijas-dienests-pieprasijums-pec-investoru-uzturesanas-atlaujam-praktiski-beidzies.a254822/" TargetMode="External"/><Relationship Id="rId3" Type="http://schemas.openxmlformats.org/officeDocument/2006/relationships/hyperlink" Target="http://www.pmlp.gov.lv/" TargetMode="External"/><Relationship Id="rId7" Type="http://schemas.openxmlformats.org/officeDocument/2006/relationships/hyperlink" Target="http://tap.mk.gov.lv/lv/mk/tap/?pid=40441522" TargetMode="External"/><Relationship Id="rId12" Type="http://schemas.openxmlformats.org/officeDocument/2006/relationships/hyperlink" Target="https://ec.europa.eu/home-affairs/sites/homeaffairs/files/what-we-do/networks/european_migration_network/reports/docs/ad-hoc-queries/eu-acquis/482__emn_ahq_on_transposition_of_directive_2011_98_ec_requested_9_june_2013_wider_dissemination.pdf" TargetMode="External"/><Relationship Id="rId17" Type="http://schemas.openxmlformats.org/officeDocument/2006/relationships/hyperlink" Target="https://stats.oecd.org/Index.aspx?DataSetCode=REVLVA" TargetMode="External"/><Relationship Id="rId2" Type="http://schemas.openxmlformats.org/officeDocument/2006/relationships/hyperlink" Target="https://likumi.lv/ta/en/en/id/212441-regulations-regarding-residence-permits" TargetMode="External"/><Relationship Id="rId16" Type="http://schemas.openxmlformats.org/officeDocument/2006/relationships/hyperlink" Target="http://tap.mk.gov.lv/lv/mk/tap/?pid=40441522" TargetMode="External"/><Relationship Id="rId1" Type="http://schemas.openxmlformats.org/officeDocument/2006/relationships/hyperlink" Target="https://likumi.lv/ta/en/en/id/68522-immigration-law" TargetMode="External"/><Relationship Id="rId6" Type="http://schemas.openxmlformats.org/officeDocument/2006/relationships/hyperlink" Target="http://www.pmlp.gov.lv/en/home/services/residence-permits/in-what-cases-may-the-rp-issued-to-you-be-annulled.html" TargetMode="External"/><Relationship Id="rId11" Type="http://schemas.openxmlformats.org/officeDocument/2006/relationships/hyperlink" Target="https://eur-lex.europa.eu/legal-content/EN/ALL/?uri=CELEX:32011L0098" TargetMode="External"/><Relationship Id="rId5" Type="http://schemas.openxmlformats.org/officeDocument/2006/relationships/hyperlink" Target="https://likumi.lv/ta/en/en/id/212441-regulations-regarding-residence-permits" TargetMode="External"/><Relationship Id="rId15" Type="http://schemas.openxmlformats.org/officeDocument/2006/relationships/hyperlink" Target="http://www.pmlp.gov.lv/lv/assets/documents/vizu&#257;&#316;i/VISI__ES__01.01.17.pdf" TargetMode="External"/><Relationship Id="rId10" Type="http://schemas.openxmlformats.org/officeDocument/2006/relationships/hyperlink" Target="http://titania.saeima.lv/LIVS11/SaeimaLIVS11.nsf/0/7FF90A1790265A8DC2257C05003EE74E?OpenDocument" TargetMode="External"/><Relationship Id="rId19" Type="http://schemas.openxmlformats.org/officeDocument/2006/relationships/hyperlink" Target="https://www.occrp.org/en/goldforvisas/latvias-once-golden-visas-lose-their-shine-but-why" TargetMode="External"/><Relationship Id="rId4" Type="http://schemas.openxmlformats.org/officeDocument/2006/relationships/hyperlink" Target="https://likumi.lv/doc.php?id=178987" TargetMode="External"/><Relationship Id="rId9" Type="http://schemas.openxmlformats.org/officeDocument/2006/relationships/hyperlink" Target="http://www.saeima.lv/faktulapas/2501_Aizsardzibas_komisija_faktu_lapaENG_SCREEN" TargetMode="External"/><Relationship Id="rId14" Type="http://schemas.openxmlformats.org/officeDocument/2006/relationships/hyperlink" Target="https://likumi.lv/doc.php?id=575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A9A0F-07BD-4C7F-BA98-2D4A06AB5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2913</Words>
  <Characters>16610</Characters>
  <Application>Microsoft Office Word</Application>
  <DocSecurity>0</DocSecurity>
  <Lines>138</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19485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Author</cp:lastModifiedBy>
  <cp:revision>4</cp:revision>
  <cp:lastPrinted>2018-08-22T15:24:00Z</cp:lastPrinted>
  <dcterms:created xsi:type="dcterms:W3CDTF">2018-09-07T11:41:00Z</dcterms:created>
  <dcterms:modified xsi:type="dcterms:W3CDTF">2018-09-12T15:55:00Z</dcterms:modified>
</cp:coreProperties>
</file>